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54FDD" w14:textId="77777777" w:rsidR="00231651" w:rsidRPr="00014AFF" w:rsidRDefault="00231651" w:rsidP="00014AFF">
      <w:pPr>
        <w:pStyle w:val="Ttulo1"/>
        <w:jc w:val="both"/>
        <w:rPr>
          <w:rFonts w:ascii="Arial" w:eastAsia="Times New Roman" w:hAnsi="Arial" w:cs="Arial"/>
          <w:sz w:val="24"/>
          <w:szCs w:val="24"/>
        </w:rPr>
      </w:pPr>
      <w:r w:rsidRPr="00014AFF">
        <w:rPr>
          <w:rFonts w:ascii="Arial" w:eastAsia="Times New Roman" w:hAnsi="Arial" w:cs="Arial"/>
          <w:sz w:val="24"/>
          <w:szCs w:val="24"/>
        </w:rPr>
        <w:t>Serum sodium trajectory during AKI and mortality risk</w:t>
      </w:r>
    </w:p>
    <w:p w14:paraId="598EB256" w14:textId="77777777" w:rsidR="00231651" w:rsidRPr="00014AFF" w:rsidRDefault="00231651" w:rsidP="00014AFF">
      <w:pPr>
        <w:shd w:val="clear" w:color="auto" w:fill="FFFFFF"/>
        <w:spacing w:after="0"/>
        <w:jc w:val="both"/>
        <w:rPr>
          <w:rFonts w:ascii="Arial" w:eastAsia="Times New Roman" w:hAnsi="Arial" w:cs="Arial"/>
          <w:color w:val="212121"/>
          <w:sz w:val="24"/>
          <w:szCs w:val="24"/>
        </w:rPr>
      </w:pPr>
      <w:r w:rsidRPr="00014AFF">
        <w:rPr>
          <w:rStyle w:val="nfasis"/>
          <w:rFonts w:ascii="Arial" w:eastAsia="Times New Roman" w:hAnsi="Arial" w:cs="Arial"/>
          <w:color w:val="5B616B"/>
          <w:sz w:val="24"/>
          <w:szCs w:val="24"/>
        </w:rPr>
        <w:t>No abstract available</w:t>
      </w:r>
    </w:p>
    <w:p w14:paraId="525C6369" w14:textId="77777777" w:rsidR="00231651" w:rsidRPr="00014AFF" w:rsidRDefault="00231651"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Keywords: </w:t>
      </w:r>
      <w:r w:rsidRPr="00014AFF">
        <w:rPr>
          <w:rFonts w:ascii="Arial" w:hAnsi="Arial" w:cs="Arial"/>
          <w:color w:val="212121"/>
          <w:sz w:val="24"/>
          <w:szCs w:val="24"/>
        </w:rPr>
        <w:t>Acute kidney injury; Kidney replacement therapy; Mortality; Serum sodium.</w:t>
      </w:r>
    </w:p>
    <w:p w14:paraId="30A18EE6" w14:textId="77777777" w:rsidR="00014AFF" w:rsidRPr="00014AFF" w:rsidRDefault="00014AFF" w:rsidP="00014AFF">
      <w:pPr>
        <w:pStyle w:val="Ttulo1"/>
        <w:jc w:val="both"/>
        <w:rPr>
          <w:rFonts w:ascii="Arial" w:eastAsia="Times New Roman" w:hAnsi="Arial" w:cs="Arial"/>
          <w:sz w:val="24"/>
          <w:szCs w:val="24"/>
        </w:rPr>
      </w:pPr>
    </w:p>
    <w:p w14:paraId="29AA4BD5" w14:textId="77777777" w:rsidR="00231651" w:rsidRPr="00014AFF" w:rsidRDefault="00231651" w:rsidP="00014AFF">
      <w:pPr>
        <w:pStyle w:val="Ttulo1"/>
        <w:jc w:val="both"/>
        <w:rPr>
          <w:rFonts w:ascii="Arial" w:eastAsia="Times New Roman" w:hAnsi="Arial" w:cs="Arial"/>
          <w:sz w:val="24"/>
          <w:szCs w:val="24"/>
        </w:rPr>
      </w:pPr>
      <w:r w:rsidRPr="00014AFF">
        <w:rPr>
          <w:rFonts w:ascii="Arial" w:eastAsia="Times New Roman" w:hAnsi="Arial" w:cs="Arial"/>
          <w:sz w:val="24"/>
          <w:szCs w:val="24"/>
        </w:rPr>
        <w:t>Analysis of influenza and dengue cases in Mexico before and during the COVID-19 pandemic</w:t>
      </w:r>
    </w:p>
    <w:p w14:paraId="7BDECF18" w14:textId="77777777" w:rsidR="00231651" w:rsidRPr="00014AFF" w:rsidRDefault="00231651" w:rsidP="00014AFF">
      <w:pPr>
        <w:shd w:val="clear" w:color="auto" w:fill="FFFFFF"/>
        <w:spacing w:after="0"/>
        <w:jc w:val="both"/>
        <w:rPr>
          <w:rStyle w:val="nfasis"/>
          <w:rFonts w:ascii="Arial" w:eastAsia="Times New Roman" w:hAnsi="Arial" w:cs="Arial"/>
          <w:color w:val="5B616B"/>
          <w:sz w:val="24"/>
          <w:szCs w:val="24"/>
        </w:rPr>
      </w:pPr>
      <w:r w:rsidRPr="00014AFF">
        <w:rPr>
          <w:rStyle w:val="nfasis"/>
          <w:rFonts w:ascii="Arial" w:eastAsia="Times New Roman" w:hAnsi="Arial" w:cs="Arial"/>
          <w:color w:val="5B616B"/>
          <w:sz w:val="24"/>
          <w:szCs w:val="24"/>
        </w:rPr>
        <w:t>No abstract available</w:t>
      </w:r>
    </w:p>
    <w:p w14:paraId="6B7AE2C4" w14:textId="68E6D504" w:rsidR="00ED4D17" w:rsidRPr="00014AFF" w:rsidRDefault="00ED4D17" w:rsidP="00014AFF">
      <w:pPr>
        <w:jc w:val="both"/>
        <w:rPr>
          <w:rFonts w:ascii="Arial" w:eastAsia="Times New Roman" w:hAnsi="Arial" w:cs="Arial"/>
          <w:color w:val="5B616B"/>
          <w:sz w:val="24"/>
          <w:szCs w:val="24"/>
        </w:rPr>
      </w:pPr>
    </w:p>
    <w:p w14:paraId="7953F072" w14:textId="77777777" w:rsidR="00231651" w:rsidRPr="00014AFF" w:rsidRDefault="00231651" w:rsidP="00014AFF">
      <w:pPr>
        <w:pStyle w:val="Ttulo1"/>
        <w:jc w:val="both"/>
        <w:rPr>
          <w:rFonts w:ascii="Arial" w:eastAsia="Times New Roman" w:hAnsi="Arial" w:cs="Arial"/>
          <w:sz w:val="24"/>
          <w:szCs w:val="24"/>
        </w:rPr>
      </w:pPr>
      <w:r w:rsidRPr="00014AFF">
        <w:rPr>
          <w:rFonts w:ascii="Arial" w:eastAsia="Times New Roman" w:hAnsi="Arial" w:cs="Arial"/>
          <w:sz w:val="24"/>
          <w:szCs w:val="24"/>
        </w:rPr>
        <w:t>A prevalence study in Guadalajara, Mexico, comparing tuberculin skin test and QuantiFERON-TB Gold In-Tube</w:t>
      </w:r>
    </w:p>
    <w:p w14:paraId="3FDB25FC" w14:textId="77777777" w:rsidR="00231651" w:rsidRPr="00014AFF" w:rsidRDefault="00231651" w:rsidP="00014AFF">
      <w:pPr>
        <w:spacing w:after="0"/>
        <w:jc w:val="both"/>
        <w:rPr>
          <w:rFonts w:ascii="Arial" w:eastAsia="Times New Roman" w:hAnsi="Arial" w:cs="Arial"/>
          <w:sz w:val="24"/>
          <w:szCs w:val="24"/>
        </w:rPr>
      </w:pPr>
      <w:r w:rsidRPr="00014AFF">
        <w:rPr>
          <w:rStyle w:val="free-label"/>
          <w:rFonts w:ascii="Arial" w:eastAsia="Times New Roman" w:hAnsi="Arial" w:cs="Arial"/>
          <w:b/>
          <w:bCs/>
          <w:color w:val="C05600"/>
          <w:sz w:val="24"/>
          <w:szCs w:val="24"/>
        </w:rPr>
        <w:t>Free PMC article</w:t>
      </w:r>
    </w:p>
    <w:p w14:paraId="554D0744" w14:textId="77777777" w:rsidR="00231651" w:rsidRPr="00014AFF" w:rsidRDefault="00231651" w:rsidP="00014AFF">
      <w:pPr>
        <w:pStyle w:val="Ttulo2"/>
        <w:shd w:val="clear" w:color="auto" w:fill="FFFFFF"/>
        <w:jc w:val="both"/>
        <w:rPr>
          <w:rFonts w:ascii="Arial" w:eastAsia="Times New Roman" w:hAnsi="Arial" w:cs="Arial"/>
          <w:color w:val="212121"/>
          <w:sz w:val="24"/>
          <w:szCs w:val="24"/>
        </w:rPr>
      </w:pPr>
      <w:r w:rsidRPr="00014AFF">
        <w:rPr>
          <w:rFonts w:ascii="Arial" w:eastAsia="Times New Roman" w:hAnsi="Arial" w:cs="Arial"/>
          <w:color w:val="212121"/>
          <w:sz w:val="24"/>
          <w:szCs w:val="24"/>
        </w:rPr>
        <w:t>Abstract</w:t>
      </w:r>
    </w:p>
    <w:p w14:paraId="071CA9ED" w14:textId="77777777" w:rsidR="00231651" w:rsidRPr="00014AFF" w:rsidRDefault="00231651"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Background: </w:t>
      </w:r>
      <w:r w:rsidRPr="00014AFF">
        <w:rPr>
          <w:rFonts w:ascii="Arial" w:hAnsi="Arial" w:cs="Arial"/>
          <w:color w:val="212121"/>
          <w:sz w:val="24"/>
          <w:szCs w:val="24"/>
        </w:rPr>
        <w:t>Tuberculosis (TB) is a prevalent disease throughout the world. The extent of TB illness in childhood is not clear; recent data shows that 10-20% of the cases are found in children under 15 years old. In 2017, 1 million children developed the disease, of which 9% were co-infected with HIV.</w:t>
      </w:r>
    </w:p>
    <w:p w14:paraId="71AFA3FD" w14:textId="77777777" w:rsidR="00231651" w:rsidRPr="00014AFF" w:rsidRDefault="00231651"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Methods: </w:t>
      </w:r>
      <w:r w:rsidRPr="00014AFF">
        <w:rPr>
          <w:rFonts w:ascii="Arial" w:hAnsi="Arial" w:cs="Arial"/>
          <w:color w:val="212121"/>
          <w:sz w:val="24"/>
          <w:szCs w:val="24"/>
        </w:rPr>
        <w:t>A cross-sectional study that analyzed 48 children diagnosed with HIV-infection in Guadalajara, Mexico. The tuberculin skin test (TST) and QuantiFERON-TB Gold In-Tube test (QFT) were performed and compared to diagnose latent TB infection (LTBI).</w:t>
      </w:r>
    </w:p>
    <w:p w14:paraId="7A331845" w14:textId="77777777" w:rsidR="00231651" w:rsidRPr="00014AFF" w:rsidRDefault="00231651"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Results: </w:t>
      </w:r>
      <w:r w:rsidRPr="00014AFF">
        <w:rPr>
          <w:rFonts w:ascii="Arial" w:hAnsi="Arial" w:cs="Arial"/>
          <w:color w:val="212121"/>
          <w:sz w:val="24"/>
          <w:szCs w:val="24"/>
        </w:rPr>
        <w:t>The average age was 9 years old (± 4), with an age range of 1-16 years; the 6-12-year-old group predominated with 50% of cases. 27 patients (56%) were male; 83% had received the BCG vaccination and 23% had a history of being contacts of TB cases. In the study, 40 patients (83%) were without immunosuppression; seven (15%) with moderate immunosuppression, and only one patient had severe immunodeficiency. Overall, 3 of the 48 children (6.2%) had a positive TST, while 8 out of 48 (16.6%) had a positive QFT. The concordance between the two tests was 89.6% (43/48) with Kappa = 0.5 (95% CI, 0.14-0.85).</w:t>
      </w:r>
    </w:p>
    <w:p w14:paraId="1536F68C" w14:textId="77777777" w:rsidR="00231651" w:rsidRPr="00014AFF" w:rsidRDefault="00231651"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Conclusions: </w:t>
      </w:r>
      <w:r w:rsidRPr="00014AFF">
        <w:rPr>
          <w:rFonts w:ascii="Arial" w:hAnsi="Arial" w:cs="Arial"/>
          <w:color w:val="212121"/>
          <w:sz w:val="24"/>
          <w:szCs w:val="24"/>
        </w:rPr>
        <w:t>The QFT test represents an opportunity in the diagnosis of LTBI, particularly in pediatric HIV- patients. This is the first study that compares the two tests (TST and QFT) in children with HIV-infection in Guadalajara, Mexico.</w:t>
      </w:r>
    </w:p>
    <w:p w14:paraId="23CFB8CC" w14:textId="77777777" w:rsidR="00014AFF" w:rsidRPr="00014AFF" w:rsidRDefault="00014AFF" w:rsidP="00014AFF">
      <w:pPr>
        <w:pStyle w:val="Ttulo1"/>
        <w:jc w:val="both"/>
        <w:rPr>
          <w:rFonts w:ascii="Arial" w:eastAsia="Times New Roman" w:hAnsi="Arial" w:cs="Arial"/>
          <w:sz w:val="24"/>
          <w:szCs w:val="24"/>
        </w:rPr>
      </w:pPr>
    </w:p>
    <w:p w14:paraId="4871A4D3" w14:textId="77777777" w:rsidR="005479A8" w:rsidRPr="00014AFF" w:rsidRDefault="005479A8" w:rsidP="00014AFF">
      <w:pPr>
        <w:pStyle w:val="Ttulo1"/>
        <w:jc w:val="both"/>
        <w:rPr>
          <w:rFonts w:ascii="Arial" w:eastAsia="Times New Roman" w:hAnsi="Arial" w:cs="Arial"/>
          <w:sz w:val="24"/>
          <w:szCs w:val="24"/>
        </w:rPr>
      </w:pPr>
      <w:r w:rsidRPr="00014AFF">
        <w:rPr>
          <w:rFonts w:ascii="Arial" w:eastAsia="Times New Roman" w:hAnsi="Arial" w:cs="Arial"/>
          <w:sz w:val="24"/>
          <w:szCs w:val="24"/>
        </w:rPr>
        <w:lastRenderedPageBreak/>
        <w:t>Viral Kinetics of an Acute Hepatitis B Virus Subgenotype F1b Infection in a Mexican Subject</w:t>
      </w:r>
    </w:p>
    <w:p w14:paraId="77A86BA3" w14:textId="77777777" w:rsidR="005479A8" w:rsidRPr="00014AFF" w:rsidRDefault="005479A8" w:rsidP="00014AFF">
      <w:pPr>
        <w:spacing w:after="0"/>
        <w:jc w:val="both"/>
        <w:rPr>
          <w:rFonts w:ascii="Arial" w:eastAsia="Times New Roman" w:hAnsi="Arial" w:cs="Arial"/>
          <w:sz w:val="24"/>
          <w:szCs w:val="24"/>
        </w:rPr>
      </w:pPr>
      <w:r w:rsidRPr="00014AFF">
        <w:rPr>
          <w:rStyle w:val="free-label"/>
          <w:rFonts w:ascii="Arial" w:eastAsia="Times New Roman" w:hAnsi="Arial" w:cs="Arial"/>
          <w:b/>
          <w:bCs/>
          <w:color w:val="C05600"/>
          <w:sz w:val="24"/>
          <w:szCs w:val="24"/>
        </w:rPr>
        <w:t>Free PMC article</w:t>
      </w:r>
    </w:p>
    <w:p w14:paraId="1336570F" w14:textId="77777777" w:rsidR="005479A8" w:rsidRPr="00014AFF" w:rsidRDefault="005479A8" w:rsidP="00014AFF">
      <w:pPr>
        <w:pStyle w:val="Ttulo2"/>
        <w:shd w:val="clear" w:color="auto" w:fill="FFFFFF"/>
        <w:jc w:val="both"/>
        <w:rPr>
          <w:rFonts w:ascii="Arial" w:eastAsia="Times New Roman" w:hAnsi="Arial" w:cs="Arial"/>
          <w:color w:val="212121"/>
          <w:sz w:val="24"/>
          <w:szCs w:val="24"/>
        </w:rPr>
      </w:pPr>
      <w:r w:rsidRPr="00014AFF">
        <w:rPr>
          <w:rFonts w:ascii="Arial" w:eastAsia="Times New Roman" w:hAnsi="Arial" w:cs="Arial"/>
          <w:color w:val="212121"/>
          <w:sz w:val="24"/>
          <w:szCs w:val="24"/>
        </w:rPr>
        <w:t>Abstract</w:t>
      </w:r>
    </w:p>
    <w:p w14:paraId="26B6A441"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Fonts w:ascii="Arial" w:hAnsi="Arial" w:cs="Arial"/>
          <w:color w:val="212121"/>
          <w:sz w:val="24"/>
          <w:szCs w:val="24"/>
        </w:rPr>
        <w:t>Content available: Author Interview and Audio Recording.</w:t>
      </w:r>
    </w:p>
    <w:p w14:paraId="4D5F507F" w14:textId="77777777" w:rsidR="005479A8" w:rsidRPr="00014AFF" w:rsidRDefault="005479A8" w:rsidP="00014AFF">
      <w:pPr>
        <w:pStyle w:val="Ttulo1"/>
        <w:jc w:val="both"/>
        <w:rPr>
          <w:rFonts w:ascii="Arial" w:eastAsia="Times New Roman" w:hAnsi="Arial" w:cs="Arial"/>
          <w:sz w:val="24"/>
          <w:szCs w:val="24"/>
        </w:rPr>
      </w:pPr>
      <w:r w:rsidRPr="00014AFF">
        <w:rPr>
          <w:rFonts w:ascii="Arial" w:eastAsia="Times New Roman" w:hAnsi="Arial" w:cs="Arial"/>
          <w:sz w:val="24"/>
          <w:szCs w:val="24"/>
        </w:rPr>
        <w:t>U.S. bound journey of migrant peoples InTransit across Dante's Inferno and Purgatory in the Americas</w:t>
      </w:r>
    </w:p>
    <w:p w14:paraId="09F8CEEC" w14:textId="77777777" w:rsidR="005479A8" w:rsidRPr="00014AFF" w:rsidRDefault="005479A8" w:rsidP="00014AFF">
      <w:pPr>
        <w:pStyle w:val="Ttulo2"/>
        <w:shd w:val="clear" w:color="auto" w:fill="FFFFFF"/>
        <w:jc w:val="both"/>
        <w:rPr>
          <w:rFonts w:ascii="Arial" w:eastAsia="Times New Roman" w:hAnsi="Arial" w:cs="Arial"/>
          <w:color w:val="212121"/>
          <w:sz w:val="24"/>
          <w:szCs w:val="24"/>
        </w:rPr>
      </w:pPr>
      <w:r w:rsidRPr="00014AFF">
        <w:rPr>
          <w:rFonts w:ascii="Arial" w:eastAsia="Times New Roman" w:hAnsi="Arial" w:cs="Arial"/>
          <w:color w:val="212121"/>
          <w:sz w:val="24"/>
          <w:szCs w:val="24"/>
        </w:rPr>
        <w:t>Abstract</w:t>
      </w:r>
    </w:p>
    <w:p w14:paraId="2926EBC8"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Fonts w:ascii="Arial" w:hAnsi="Arial" w:cs="Arial"/>
          <w:color w:val="212121"/>
          <w:sz w:val="24"/>
          <w:szCs w:val="24"/>
        </w:rPr>
        <w:t>Rapid rise of population migration is a defining feature of the 21st century due to the impact of climate change, political instability, and socioeconomic downturn. Over the last decade, an increasing number of migrant peoples travel across the Americas to reach the United States seeking asylum or cross the border undocumented in search of economic opportunities. In this journey, migrant people experience violations of their human rights, hunger, illness, violence and have limited access to medical care. In the 'Divine Comedy', the Italian poet Dante Alighieri depicts his allegorical pilgrimage across Hell and Purgatory to reach Paradise. More than 700 years after its publication, Dante's poem speaks to the present time and the perilious journey of migrant peoples to reach safehavens. By exploring the depths and heights of the human condition, Dante's struggles resonate with the multiple barriers and the unfathomable experiences faced by migrant peoples in transit across South, Central, and North America to reach the United States. Ensuring the safety of migrant peoples across the Americas and elsewhere, and attending to their health needs during their migratory paths represent modern priorities to reduce social injustices and achieving health equity.</w:t>
      </w:r>
    </w:p>
    <w:p w14:paraId="55302C66"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Keywords: </w:t>
      </w:r>
      <w:r w:rsidRPr="00014AFF">
        <w:rPr>
          <w:rFonts w:ascii="Arial" w:hAnsi="Arial" w:cs="Arial"/>
          <w:color w:val="212121"/>
          <w:sz w:val="24"/>
          <w:szCs w:val="24"/>
        </w:rPr>
        <w:t>Central America; Darien; Mexico; Migrant people; Migrant people in transit; North America; Panama; South America.</w:t>
      </w:r>
    </w:p>
    <w:p w14:paraId="34242F9B" w14:textId="77777777" w:rsidR="005479A8" w:rsidRPr="00014AFF" w:rsidRDefault="005479A8" w:rsidP="00014AFF">
      <w:pPr>
        <w:pStyle w:val="copyright"/>
        <w:shd w:val="clear" w:color="auto" w:fill="FFFFFF"/>
        <w:jc w:val="both"/>
        <w:rPr>
          <w:rFonts w:ascii="Arial" w:hAnsi="Arial" w:cs="Arial"/>
          <w:color w:val="212121"/>
          <w:sz w:val="24"/>
          <w:szCs w:val="24"/>
        </w:rPr>
      </w:pPr>
      <w:r w:rsidRPr="00014AFF">
        <w:rPr>
          <w:rFonts w:ascii="Arial" w:hAnsi="Arial" w:cs="Arial"/>
          <w:color w:val="212121"/>
          <w:sz w:val="24"/>
          <w:szCs w:val="24"/>
        </w:rPr>
        <w:t>Copyright © 2022. Published by Elsevier Ltd.</w:t>
      </w:r>
    </w:p>
    <w:p w14:paraId="0CC720A2" w14:textId="77777777" w:rsidR="00ED4D17" w:rsidRPr="00014AFF" w:rsidRDefault="00ED4D17" w:rsidP="00014AFF">
      <w:pPr>
        <w:jc w:val="both"/>
        <w:rPr>
          <w:rFonts w:ascii="Arial" w:eastAsia="Times New Roman" w:hAnsi="Arial" w:cs="Arial"/>
          <w:color w:val="5B616B"/>
          <w:sz w:val="24"/>
          <w:szCs w:val="24"/>
        </w:rPr>
      </w:pPr>
      <w:r w:rsidRPr="00014AFF">
        <w:rPr>
          <w:rFonts w:ascii="Arial" w:eastAsia="Times New Roman" w:hAnsi="Arial" w:cs="Arial"/>
          <w:color w:val="5B616B"/>
          <w:sz w:val="24"/>
          <w:szCs w:val="24"/>
        </w:rPr>
        <w:br w:type="page"/>
      </w:r>
    </w:p>
    <w:p w14:paraId="23F0C090" w14:textId="77777777" w:rsidR="005479A8" w:rsidRPr="00014AFF" w:rsidRDefault="005479A8" w:rsidP="00014AFF">
      <w:pPr>
        <w:pStyle w:val="Ttulo1"/>
        <w:jc w:val="both"/>
        <w:rPr>
          <w:rFonts w:ascii="Arial" w:eastAsia="Times New Roman" w:hAnsi="Arial" w:cs="Arial"/>
          <w:sz w:val="24"/>
          <w:szCs w:val="24"/>
        </w:rPr>
      </w:pPr>
      <w:r w:rsidRPr="00014AFF">
        <w:rPr>
          <w:rFonts w:ascii="Arial" w:eastAsia="Times New Roman" w:hAnsi="Arial" w:cs="Arial"/>
          <w:sz w:val="24"/>
          <w:szCs w:val="24"/>
        </w:rPr>
        <w:lastRenderedPageBreak/>
        <w:t>Increment Antimicrobial Resistance During the COVID-19 Pandemic: Results from the Invifar Network</w:t>
      </w:r>
    </w:p>
    <w:p w14:paraId="451A6918" w14:textId="77777777" w:rsidR="005479A8" w:rsidRPr="00014AFF" w:rsidRDefault="005479A8" w:rsidP="00014AFF">
      <w:pPr>
        <w:jc w:val="both"/>
        <w:rPr>
          <w:rFonts w:ascii="Arial" w:eastAsia="Times New Roman" w:hAnsi="Arial" w:cs="Arial"/>
          <w:sz w:val="24"/>
          <w:szCs w:val="24"/>
        </w:rPr>
      </w:pPr>
      <w:r w:rsidRPr="00014AFF">
        <w:rPr>
          <w:rFonts w:ascii="Arial" w:eastAsia="Times New Roman" w:hAnsi="Arial" w:cs="Arial"/>
          <w:sz w:val="24"/>
          <w:szCs w:val="24"/>
        </w:rPr>
        <w:t>Affiliations </w:t>
      </w:r>
      <w:r w:rsidRPr="00014AFF">
        <w:rPr>
          <w:rStyle w:val="Puesto1"/>
          <w:rFonts w:ascii="Arial" w:eastAsia="Times New Roman" w:hAnsi="Arial" w:cs="Arial"/>
          <w:sz w:val="24"/>
          <w:szCs w:val="24"/>
        </w:rPr>
        <w:t>expand</w:t>
      </w:r>
    </w:p>
    <w:p w14:paraId="31B7F3F5" w14:textId="77777777" w:rsidR="005479A8" w:rsidRPr="00014AFF" w:rsidRDefault="005479A8" w:rsidP="00014AFF">
      <w:pPr>
        <w:pStyle w:val="Ttulo2"/>
        <w:shd w:val="clear" w:color="auto" w:fill="FFFFFF"/>
        <w:jc w:val="both"/>
        <w:rPr>
          <w:rFonts w:ascii="Arial" w:eastAsia="Times New Roman" w:hAnsi="Arial" w:cs="Arial"/>
          <w:color w:val="212121"/>
          <w:sz w:val="24"/>
          <w:szCs w:val="24"/>
        </w:rPr>
      </w:pPr>
      <w:r w:rsidRPr="00014AFF">
        <w:rPr>
          <w:rFonts w:ascii="Arial" w:eastAsia="Times New Roman" w:hAnsi="Arial" w:cs="Arial"/>
          <w:color w:val="212121"/>
          <w:sz w:val="24"/>
          <w:szCs w:val="24"/>
        </w:rPr>
        <w:t>Abstract</w:t>
      </w:r>
    </w:p>
    <w:p w14:paraId="7916C8DB"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Fonts w:ascii="Arial" w:hAnsi="Arial" w:cs="Arial"/>
          <w:b/>
          <w:bCs/>
          <w:i/>
          <w:iCs/>
          <w:color w:val="212121"/>
          <w:sz w:val="24"/>
          <w:szCs w:val="24"/>
        </w:rPr>
        <w:t>Aim:</w:t>
      </w:r>
      <w:r w:rsidRPr="00014AFF">
        <w:rPr>
          <w:rFonts w:ascii="Arial" w:hAnsi="Arial" w:cs="Arial"/>
          <w:color w:val="212121"/>
          <w:sz w:val="24"/>
          <w:szCs w:val="24"/>
        </w:rPr>
        <w:t> This study aims to assess the changes in antimicrobial resistance among some critical and high-priority microorganisms collected previously and during the coronavirus disease 2019 (COVID-19) pandemic in Mexico. </w:t>
      </w:r>
      <w:r w:rsidRPr="00014AFF">
        <w:rPr>
          <w:rFonts w:ascii="Arial" w:hAnsi="Arial" w:cs="Arial"/>
          <w:b/>
          <w:bCs/>
          <w:i/>
          <w:iCs/>
          <w:color w:val="212121"/>
          <w:sz w:val="24"/>
          <w:szCs w:val="24"/>
        </w:rPr>
        <w:t>Methods:</w:t>
      </w:r>
      <w:r w:rsidRPr="00014AFF">
        <w:rPr>
          <w:rFonts w:ascii="Arial" w:hAnsi="Arial" w:cs="Arial"/>
          <w:color w:val="212121"/>
          <w:sz w:val="24"/>
          <w:szCs w:val="24"/>
        </w:rPr>
        <w:t> We collected antimicrobial susceptibility data for critical and high-priority microorganisms from blood, urine, respiratory samples, and from all specimens, in which the pathogen may be considered a causative agent. Data were stratified and compared for two periods: 2019 versus 2020 and second semester 2019 (prepandemic) versus the second semester 2020 (pandemic). </w:t>
      </w:r>
      <w:r w:rsidRPr="00014AFF">
        <w:rPr>
          <w:rFonts w:ascii="Arial" w:hAnsi="Arial" w:cs="Arial"/>
          <w:b/>
          <w:bCs/>
          <w:i/>
          <w:iCs/>
          <w:color w:val="212121"/>
          <w:sz w:val="24"/>
          <w:szCs w:val="24"/>
        </w:rPr>
        <w:t>Results:</w:t>
      </w:r>
      <w:r w:rsidRPr="00014AFF">
        <w:rPr>
          <w:rFonts w:ascii="Arial" w:hAnsi="Arial" w:cs="Arial"/>
          <w:color w:val="212121"/>
          <w:sz w:val="24"/>
          <w:szCs w:val="24"/>
        </w:rPr>
        <w:t> In the analysis of second semester 2019 versus the second semester 2020, in blood samples, increased resistance to oxacillin (15.2% vs. 36.9%), erythromycin (25.7% vs. 42.8%), and clindamycin (24.8% vs. 43.3%) (</w:t>
      </w:r>
      <w:r w:rsidRPr="00014AFF">
        <w:rPr>
          <w:rFonts w:ascii="Arial" w:hAnsi="Arial" w:cs="Arial"/>
          <w:i/>
          <w:iCs/>
          <w:color w:val="212121"/>
          <w:sz w:val="24"/>
          <w:szCs w:val="24"/>
        </w:rPr>
        <w:t>p</w:t>
      </w:r>
      <w:r w:rsidRPr="00014AFF">
        <w:rPr>
          <w:rFonts w:ascii="Arial" w:hAnsi="Arial" w:cs="Arial"/>
          <w:color w:val="212121"/>
          <w:sz w:val="24"/>
          <w:szCs w:val="24"/>
        </w:rPr>
        <w:t> ≤ 0.01) was detected for </w:t>
      </w:r>
      <w:r w:rsidRPr="00014AFF">
        <w:rPr>
          <w:rFonts w:ascii="Arial" w:hAnsi="Arial" w:cs="Arial"/>
          <w:i/>
          <w:iCs/>
          <w:color w:val="212121"/>
          <w:sz w:val="24"/>
          <w:szCs w:val="24"/>
        </w:rPr>
        <w:t>Staphylococcus aureus</w:t>
      </w:r>
      <w:r w:rsidRPr="00014AFF">
        <w:rPr>
          <w:rFonts w:ascii="Arial" w:hAnsi="Arial" w:cs="Arial"/>
          <w:color w:val="212121"/>
          <w:sz w:val="24"/>
          <w:szCs w:val="24"/>
        </w:rPr>
        <w:t>, to imipenem (13% vs. 23.4%) and meropenem (11.2% vs. 21.4) (</w:t>
      </w:r>
      <w:r w:rsidRPr="00014AFF">
        <w:rPr>
          <w:rFonts w:ascii="Arial" w:hAnsi="Arial" w:cs="Arial"/>
          <w:i/>
          <w:iCs/>
          <w:color w:val="212121"/>
          <w:sz w:val="24"/>
          <w:szCs w:val="24"/>
        </w:rPr>
        <w:t>p</w:t>
      </w:r>
      <w:r w:rsidRPr="00014AFF">
        <w:rPr>
          <w:rFonts w:ascii="Arial" w:hAnsi="Arial" w:cs="Arial"/>
          <w:color w:val="212121"/>
          <w:sz w:val="24"/>
          <w:szCs w:val="24"/>
        </w:rPr>
        <w:t> ≤ 0.01), for </w:t>
      </w:r>
      <w:r w:rsidRPr="00014AFF">
        <w:rPr>
          <w:rFonts w:ascii="Arial" w:hAnsi="Arial" w:cs="Arial"/>
          <w:i/>
          <w:iCs/>
          <w:color w:val="212121"/>
          <w:sz w:val="24"/>
          <w:szCs w:val="24"/>
        </w:rPr>
        <w:t>Klebsiella pneumoniae</w:t>
      </w:r>
      <w:r w:rsidRPr="00014AFF">
        <w:rPr>
          <w:rFonts w:ascii="Arial" w:hAnsi="Arial" w:cs="Arial"/>
          <w:color w:val="212121"/>
          <w:sz w:val="24"/>
          <w:szCs w:val="24"/>
        </w:rPr>
        <w:t>. In all specimens, increased ampicillin and tetracycline resistance was detected for </w:t>
      </w:r>
      <w:r w:rsidRPr="00014AFF">
        <w:rPr>
          <w:rFonts w:ascii="Arial" w:hAnsi="Arial" w:cs="Arial"/>
          <w:i/>
          <w:iCs/>
          <w:color w:val="212121"/>
          <w:sz w:val="24"/>
          <w:szCs w:val="24"/>
        </w:rPr>
        <w:t>Enterococcus faecium</w:t>
      </w:r>
      <w:r w:rsidRPr="00014AFF">
        <w:rPr>
          <w:rFonts w:ascii="Arial" w:hAnsi="Arial" w:cs="Arial"/>
          <w:color w:val="212121"/>
          <w:sz w:val="24"/>
          <w:szCs w:val="24"/>
        </w:rPr>
        <w:t> (</w:t>
      </w:r>
      <w:r w:rsidRPr="00014AFF">
        <w:rPr>
          <w:rFonts w:ascii="Arial" w:hAnsi="Arial" w:cs="Arial"/>
          <w:i/>
          <w:iCs/>
          <w:color w:val="212121"/>
          <w:sz w:val="24"/>
          <w:szCs w:val="24"/>
        </w:rPr>
        <w:t>p</w:t>
      </w:r>
      <w:r w:rsidRPr="00014AFF">
        <w:rPr>
          <w:rFonts w:ascii="Arial" w:hAnsi="Arial" w:cs="Arial"/>
          <w:color w:val="212121"/>
          <w:sz w:val="24"/>
          <w:szCs w:val="24"/>
        </w:rPr>
        <w:t> ≤ 0.01). In cefepime, meropenem, levofloxacin, and gentamicin (</w:t>
      </w:r>
      <w:r w:rsidRPr="00014AFF">
        <w:rPr>
          <w:rFonts w:ascii="Arial" w:hAnsi="Arial" w:cs="Arial"/>
          <w:i/>
          <w:iCs/>
          <w:color w:val="212121"/>
          <w:sz w:val="24"/>
          <w:szCs w:val="24"/>
        </w:rPr>
        <w:t>p</w:t>
      </w:r>
      <w:r w:rsidRPr="00014AFF">
        <w:rPr>
          <w:rFonts w:ascii="Arial" w:hAnsi="Arial" w:cs="Arial"/>
          <w:color w:val="212121"/>
          <w:sz w:val="24"/>
          <w:szCs w:val="24"/>
        </w:rPr>
        <w:t> ≤ 0.01), resistance was detected for </w:t>
      </w:r>
      <w:r w:rsidRPr="00014AFF">
        <w:rPr>
          <w:rFonts w:ascii="Arial" w:hAnsi="Arial" w:cs="Arial"/>
          <w:i/>
          <w:iCs/>
          <w:color w:val="212121"/>
          <w:sz w:val="24"/>
          <w:szCs w:val="24"/>
        </w:rPr>
        <w:t>Escherichia coli</w:t>
      </w:r>
      <w:r w:rsidRPr="00014AFF">
        <w:rPr>
          <w:rFonts w:ascii="Arial" w:hAnsi="Arial" w:cs="Arial"/>
          <w:color w:val="212121"/>
          <w:sz w:val="24"/>
          <w:szCs w:val="24"/>
        </w:rPr>
        <w:t>; and in piperacillin-tazobactam, cefepime, imipenem, meropenem, ciprofloxacin, levofloxacin, and gentamicin (</w:t>
      </w:r>
      <w:r w:rsidRPr="00014AFF">
        <w:rPr>
          <w:rFonts w:ascii="Arial" w:hAnsi="Arial" w:cs="Arial"/>
          <w:i/>
          <w:iCs/>
          <w:color w:val="212121"/>
          <w:sz w:val="24"/>
          <w:szCs w:val="24"/>
        </w:rPr>
        <w:t>p</w:t>
      </w:r>
      <w:r w:rsidRPr="00014AFF">
        <w:rPr>
          <w:rFonts w:ascii="Arial" w:hAnsi="Arial" w:cs="Arial"/>
          <w:color w:val="212121"/>
          <w:sz w:val="24"/>
          <w:szCs w:val="24"/>
        </w:rPr>
        <w:t> ≤ 0.01), resistance was detected for </w:t>
      </w:r>
      <w:r w:rsidRPr="00014AFF">
        <w:rPr>
          <w:rFonts w:ascii="Arial" w:hAnsi="Arial" w:cs="Arial"/>
          <w:i/>
          <w:iCs/>
          <w:color w:val="212121"/>
          <w:sz w:val="24"/>
          <w:szCs w:val="24"/>
        </w:rPr>
        <w:t>Pseudomonas aeruginosa</w:t>
      </w:r>
      <w:r w:rsidRPr="00014AFF">
        <w:rPr>
          <w:rFonts w:ascii="Arial" w:hAnsi="Arial" w:cs="Arial"/>
          <w:color w:val="212121"/>
          <w:sz w:val="24"/>
          <w:szCs w:val="24"/>
        </w:rPr>
        <w:t>. </w:t>
      </w:r>
      <w:r w:rsidRPr="00014AFF">
        <w:rPr>
          <w:rFonts w:ascii="Arial" w:hAnsi="Arial" w:cs="Arial"/>
          <w:b/>
          <w:bCs/>
          <w:i/>
          <w:iCs/>
          <w:color w:val="212121"/>
          <w:sz w:val="24"/>
          <w:szCs w:val="24"/>
        </w:rPr>
        <w:t>Conclusion:</w:t>
      </w:r>
      <w:r w:rsidRPr="00014AFF">
        <w:rPr>
          <w:rFonts w:ascii="Arial" w:hAnsi="Arial" w:cs="Arial"/>
          <w:color w:val="212121"/>
          <w:sz w:val="24"/>
          <w:szCs w:val="24"/>
        </w:rPr>
        <w:t> Antimicrobial resistance increased in Mexico during the COVID-19 pandemic. The increase in oxacillin resistance for </w:t>
      </w:r>
      <w:r w:rsidRPr="00014AFF">
        <w:rPr>
          <w:rFonts w:ascii="Arial" w:hAnsi="Arial" w:cs="Arial"/>
          <w:i/>
          <w:iCs/>
          <w:color w:val="212121"/>
          <w:sz w:val="24"/>
          <w:szCs w:val="24"/>
        </w:rPr>
        <w:t>S. aureus</w:t>
      </w:r>
      <w:r w:rsidRPr="00014AFF">
        <w:rPr>
          <w:rFonts w:ascii="Arial" w:hAnsi="Arial" w:cs="Arial"/>
          <w:color w:val="212121"/>
          <w:sz w:val="24"/>
          <w:szCs w:val="24"/>
        </w:rPr>
        <w:t> and carbapenem resistance for </w:t>
      </w:r>
      <w:r w:rsidRPr="00014AFF">
        <w:rPr>
          <w:rFonts w:ascii="Arial" w:hAnsi="Arial" w:cs="Arial"/>
          <w:i/>
          <w:iCs/>
          <w:color w:val="212121"/>
          <w:sz w:val="24"/>
          <w:szCs w:val="24"/>
        </w:rPr>
        <w:t>K. pneumoniae</w:t>
      </w:r>
      <w:r w:rsidRPr="00014AFF">
        <w:rPr>
          <w:rFonts w:ascii="Arial" w:hAnsi="Arial" w:cs="Arial"/>
          <w:color w:val="212121"/>
          <w:sz w:val="24"/>
          <w:szCs w:val="24"/>
        </w:rPr>
        <w:t> recovered from blood specimens deserves special attention. In addition, an increase in erythromycin resistance in </w:t>
      </w:r>
      <w:r w:rsidRPr="00014AFF">
        <w:rPr>
          <w:rFonts w:ascii="Arial" w:hAnsi="Arial" w:cs="Arial"/>
          <w:i/>
          <w:iCs/>
          <w:color w:val="212121"/>
          <w:sz w:val="24"/>
          <w:szCs w:val="24"/>
        </w:rPr>
        <w:t>S. aureus</w:t>
      </w:r>
      <w:r w:rsidRPr="00014AFF">
        <w:rPr>
          <w:rFonts w:ascii="Arial" w:hAnsi="Arial" w:cs="Arial"/>
          <w:color w:val="212121"/>
          <w:sz w:val="24"/>
          <w:szCs w:val="24"/>
        </w:rPr>
        <w:t> was detected, which may be associated with high azithromycin use. In general, for </w:t>
      </w:r>
      <w:r w:rsidRPr="00014AFF">
        <w:rPr>
          <w:rFonts w:ascii="Arial" w:hAnsi="Arial" w:cs="Arial"/>
          <w:i/>
          <w:iCs/>
          <w:color w:val="212121"/>
          <w:sz w:val="24"/>
          <w:szCs w:val="24"/>
        </w:rPr>
        <w:t>Acinetobacter baumannii</w:t>
      </w:r>
      <w:r w:rsidRPr="00014AFF">
        <w:rPr>
          <w:rFonts w:ascii="Arial" w:hAnsi="Arial" w:cs="Arial"/>
          <w:color w:val="212121"/>
          <w:sz w:val="24"/>
          <w:szCs w:val="24"/>
        </w:rPr>
        <w:t> and </w:t>
      </w:r>
      <w:r w:rsidRPr="00014AFF">
        <w:rPr>
          <w:rFonts w:ascii="Arial" w:hAnsi="Arial" w:cs="Arial"/>
          <w:i/>
          <w:iCs/>
          <w:color w:val="212121"/>
          <w:sz w:val="24"/>
          <w:szCs w:val="24"/>
        </w:rPr>
        <w:t>P. aeruginosa</w:t>
      </w:r>
      <w:r w:rsidRPr="00014AFF">
        <w:rPr>
          <w:rFonts w:ascii="Arial" w:hAnsi="Arial" w:cs="Arial"/>
          <w:color w:val="212121"/>
          <w:sz w:val="24"/>
          <w:szCs w:val="24"/>
        </w:rPr>
        <w:t>, increasing resistance rates were detected.</w:t>
      </w:r>
    </w:p>
    <w:p w14:paraId="7A246501"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Keywords: </w:t>
      </w:r>
      <w:r w:rsidRPr="00014AFF">
        <w:rPr>
          <w:rFonts w:ascii="Arial" w:hAnsi="Arial" w:cs="Arial"/>
          <w:color w:val="212121"/>
          <w:sz w:val="24"/>
          <w:szCs w:val="24"/>
        </w:rPr>
        <w:t>Acinetobacter baumannii complex; COVID-19 pandemic; Enterobacter cloacae; Enterococcus faecium; Escherichia coli; INVIFAR; Klebsiella pneumoniae; Pseudomonas aeruginosa; Staphylococcus aureus; antimicrobial resistance.</w:t>
      </w:r>
    </w:p>
    <w:p w14:paraId="40CB4BD2" w14:textId="77777777" w:rsidR="00ED4D17" w:rsidRPr="00014AFF" w:rsidRDefault="00ED4D17" w:rsidP="00014AFF">
      <w:pPr>
        <w:jc w:val="both"/>
        <w:rPr>
          <w:rFonts w:ascii="Arial" w:eastAsia="Times New Roman" w:hAnsi="Arial" w:cs="Arial"/>
          <w:color w:val="5B616B"/>
          <w:sz w:val="24"/>
          <w:szCs w:val="24"/>
        </w:rPr>
      </w:pPr>
      <w:r w:rsidRPr="00014AFF">
        <w:rPr>
          <w:rFonts w:ascii="Arial" w:eastAsia="Times New Roman" w:hAnsi="Arial" w:cs="Arial"/>
          <w:color w:val="5B616B"/>
          <w:sz w:val="24"/>
          <w:szCs w:val="24"/>
        </w:rPr>
        <w:br w:type="page"/>
      </w:r>
    </w:p>
    <w:p w14:paraId="6FB23B92" w14:textId="77777777" w:rsidR="005479A8" w:rsidRPr="00014AFF" w:rsidRDefault="005479A8" w:rsidP="00014AFF">
      <w:pPr>
        <w:pStyle w:val="Ttulo1"/>
        <w:jc w:val="both"/>
        <w:rPr>
          <w:rFonts w:ascii="Arial" w:eastAsia="Times New Roman" w:hAnsi="Arial" w:cs="Arial"/>
          <w:sz w:val="24"/>
          <w:szCs w:val="24"/>
        </w:rPr>
      </w:pPr>
      <w:r w:rsidRPr="00014AFF">
        <w:rPr>
          <w:rFonts w:ascii="Arial" w:eastAsia="Times New Roman" w:hAnsi="Arial" w:cs="Arial"/>
          <w:sz w:val="24"/>
          <w:szCs w:val="24"/>
        </w:rPr>
        <w:lastRenderedPageBreak/>
        <w:t>Awake prone positioning for non-intubated patients with COVID-19-related acute hypoxaemic respiratory failure: a systematic review and meta-analysis</w:t>
      </w:r>
    </w:p>
    <w:p w14:paraId="44FF9B1B" w14:textId="77777777" w:rsidR="005479A8" w:rsidRPr="00014AFF" w:rsidRDefault="005479A8" w:rsidP="00014AFF">
      <w:pPr>
        <w:pStyle w:val="Ttulo2"/>
        <w:shd w:val="clear" w:color="auto" w:fill="FFFFFF"/>
        <w:jc w:val="both"/>
        <w:rPr>
          <w:rFonts w:ascii="Arial" w:eastAsia="Times New Roman" w:hAnsi="Arial" w:cs="Arial"/>
          <w:color w:val="212121"/>
          <w:sz w:val="24"/>
          <w:szCs w:val="24"/>
        </w:rPr>
      </w:pPr>
      <w:r w:rsidRPr="00014AFF">
        <w:rPr>
          <w:rFonts w:ascii="Arial" w:eastAsia="Times New Roman" w:hAnsi="Arial" w:cs="Arial"/>
          <w:color w:val="212121"/>
          <w:sz w:val="24"/>
          <w:szCs w:val="24"/>
        </w:rPr>
        <w:t>Abstract</w:t>
      </w:r>
    </w:p>
    <w:p w14:paraId="1CEE27B0"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Background: </w:t>
      </w:r>
      <w:r w:rsidRPr="00014AFF">
        <w:rPr>
          <w:rFonts w:ascii="Arial" w:hAnsi="Arial" w:cs="Arial"/>
          <w:color w:val="212121"/>
          <w:sz w:val="24"/>
          <w:szCs w:val="24"/>
        </w:rPr>
        <w:t>Awake prone positioning has been broadly utilised for non-intubated patients with COVID-19-related acute hypo</w:t>
      </w:r>
      <w:bookmarkStart w:id="0" w:name="_GoBack"/>
      <w:bookmarkEnd w:id="0"/>
      <w:r w:rsidRPr="00014AFF">
        <w:rPr>
          <w:rFonts w:ascii="Arial" w:hAnsi="Arial" w:cs="Arial"/>
          <w:color w:val="212121"/>
          <w:sz w:val="24"/>
          <w:szCs w:val="24"/>
        </w:rPr>
        <w:t>xaemic respiratory failure, but the results from published randomised controlled trials (RCTs) in the past year are contradictory. We aimed to systematically synthesise the outcomes associated with awake prone positioning, and evaluate these outcomes in relevant subpopulations.</w:t>
      </w:r>
    </w:p>
    <w:p w14:paraId="77754C59"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Methods: </w:t>
      </w:r>
      <w:r w:rsidRPr="00014AFF">
        <w:rPr>
          <w:rFonts w:ascii="Arial" w:hAnsi="Arial" w:cs="Arial"/>
          <w:color w:val="212121"/>
          <w:sz w:val="24"/>
          <w:szCs w:val="24"/>
        </w:rPr>
        <w:t>In this systematic review and meta-analysis, two independent groups of researchers searched MEDLINE, Embase, PubMed, Web of Science, Scopus, MedRxiv, BioRxiv, and ClinicalTrials.gov for RCTs and observational studies (with a control group) of awake prone positioning in patients with COVID-19-related acute hypoxaemic respiratory failure published in English from Jan 1, 2020, to Nov 8, 2021. We excluded trials that included patients intubated before or at enrolment, paediatric patients (ie, younger than 18 years), or trials that did not include the supine position in the control group. The same two independent groups screened studies, extracted the summary data from published reports, and assessed the risk of bias. We used a random-effects meta-analysis to pool individual studies. We used the Grading of Recommendations Assessment, Development, and Evaluation approach to assess the certainty and quality of the evidence. The primary outcome was the reported cumulative intubation risk across RCTs, and effect estimates were calculated as risk ratios (RR</w:t>
      </w:r>
      <w:proofErr w:type="gramStart"/>
      <w:r w:rsidRPr="00014AFF">
        <w:rPr>
          <w:rFonts w:ascii="Arial" w:hAnsi="Arial" w:cs="Arial"/>
          <w:color w:val="212121"/>
          <w:sz w:val="24"/>
          <w:szCs w:val="24"/>
        </w:rPr>
        <w:t>;95</w:t>
      </w:r>
      <w:proofErr w:type="gramEnd"/>
      <w:r w:rsidRPr="00014AFF">
        <w:rPr>
          <w:rFonts w:ascii="Arial" w:hAnsi="Arial" w:cs="Arial"/>
          <w:color w:val="212121"/>
          <w:sz w:val="24"/>
          <w:szCs w:val="24"/>
        </w:rPr>
        <w:t>% CI). The analysis was primarily conducted on RCTs, and observational studies were used for sensitivity analyses. No serious adverse events associated with awake prone positioning were reported. The study protocol was prospectively registered with PROSPERO, CRD42021271285.</w:t>
      </w:r>
    </w:p>
    <w:p w14:paraId="69FEE21F"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Findings: </w:t>
      </w:r>
      <w:r w:rsidRPr="00014AFF">
        <w:rPr>
          <w:rFonts w:ascii="Arial" w:hAnsi="Arial" w:cs="Arial"/>
          <w:color w:val="212121"/>
          <w:sz w:val="24"/>
          <w:szCs w:val="24"/>
        </w:rPr>
        <w:t>A total of 1243 studies were identified, we assessed 138 full-text articles and received the aggregated results of three unpublished RCTs; therefore, after exclusions, 29 studies were included in the study. Ten were RCTs (1985 patients) and 19 were observational studies (2669 patients). In ten RCTs, awake prone positioning compared with the supine position significantly reduced the need for intubation in the overall population (RR 0·84 [95% CI 0·72-0·97]). A reduced need for intubation was shown among patients who received advanced respiratory support (ie, high-flow nasal cannula or non-invasive ventilation) at enrolment (RR 0·83 [0·71-0·97]) and in intensive care unit (ICU) settings (RR 0·83 [0·71-0·97]) but not in patients receiving conventional oxygen therapy (RR 0·87 [0·45-1·69]) or in non-ICU settings (RR 0·88 [0·44-1·76]). No obvious risk of bias and publication bias was found among the included RCTs for the primary outcome.</w:t>
      </w:r>
    </w:p>
    <w:p w14:paraId="7235BFC3" w14:textId="77777777" w:rsidR="005479A8" w:rsidRPr="00014AFF" w:rsidRDefault="005479A8"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Interpretation: </w:t>
      </w:r>
      <w:r w:rsidRPr="00014AFF">
        <w:rPr>
          <w:rFonts w:ascii="Arial" w:hAnsi="Arial" w:cs="Arial"/>
          <w:color w:val="212121"/>
          <w:sz w:val="24"/>
          <w:szCs w:val="24"/>
        </w:rPr>
        <w:t xml:space="preserve">In patients with COVID-19-related acute hypoxaemic respiratory failure, awake prone positioning reduced the need for intubation, particularly among those requiring advanced respiratory support and those in ICU settings. Awake prone positioning should be used in patients who have acute hypoxaemic respiratory failure </w:t>
      </w:r>
      <w:r w:rsidRPr="00014AFF">
        <w:rPr>
          <w:rFonts w:ascii="Arial" w:hAnsi="Arial" w:cs="Arial"/>
          <w:color w:val="212121"/>
          <w:sz w:val="24"/>
          <w:szCs w:val="24"/>
        </w:rPr>
        <w:lastRenderedPageBreak/>
        <w:t>due to COVID-19 and require advanced respiratory support or are treated in the ICU.</w:t>
      </w:r>
    </w:p>
    <w:p w14:paraId="2D0C0289" w14:textId="4B892C33" w:rsidR="005479A8" w:rsidRPr="00014AFF" w:rsidRDefault="005479A8"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Funding: </w:t>
      </w:r>
      <w:r w:rsidRPr="00014AFF">
        <w:rPr>
          <w:rFonts w:ascii="Arial" w:hAnsi="Arial" w:cs="Arial"/>
          <w:color w:val="212121"/>
          <w:sz w:val="24"/>
          <w:szCs w:val="24"/>
        </w:rPr>
        <w:t>OpenAI, Rice Foundation, National Institute for Health Research, and Oxford Biomedical Research Centre.</w:t>
      </w:r>
      <w:r w:rsidR="00ED4D17" w:rsidRPr="00014AFF">
        <w:rPr>
          <w:rFonts w:ascii="Arial" w:hAnsi="Arial" w:cs="Arial"/>
          <w:color w:val="212121"/>
          <w:sz w:val="24"/>
          <w:szCs w:val="24"/>
        </w:rPr>
        <w:br w:type="page"/>
      </w:r>
    </w:p>
    <w:p w14:paraId="136C78A7" w14:textId="77777777" w:rsidR="00A1303C" w:rsidRPr="00014AFF" w:rsidRDefault="00A1303C" w:rsidP="00014AFF">
      <w:pPr>
        <w:pStyle w:val="Ttulo1"/>
        <w:jc w:val="both"/>
        <w:rPr>
          <w:rFonts w:ascii="Arial" w:eastAsia="Times New Roman" w:hAnsi="Arial" w:cs="Arial"/>
          <w:sz w:val="24"/>
          <w:szCs w:val="24"/>
        </w:rPr>
      </w:pPr>
      <w:r w:rsidRPr="00014AFF">
        <w:rPr>
          <w:rFonts w:ascii="Arial" w:eastAsia="Times New Roman" w:hAnsi="Arial" w:cs="Arial"/>
          <w:sz w:val="24"/>
          <w:szCs w:val="24"/>
        </w:rPr>
        <w:lastRenderedPageBreak/>
        <w:t>The utility of the Edmonton Obesity Staging System for the prediction of COVID-19 outcomes: a multi-centre study</w:t>
      </w:r>
    </w:p>
    <w:p w14:paraId="1B88E6F2" w14:textId="77777777" w:rsidR="00A1303C" w:rsidRPr="00014AFF" w:rsidRDefault="00A1303C" w:rsidP="00014AFF">
      <w:pPr>
        <w:spacing w:after="0"/>
        <w:jc w:val="both"/>
        <w:rPr>
          <w:rFonts w:ascii="Arial" w:eastAsia="Times New Roman" w:hAnsi="Arial" w:cs="Arial"/>
          <w:sz w:val="24"/>
          <w:szCs w:val="24"/>
        </w:rPr>
      </w:pPr>
      <w:r w:rsidRPr="00014AFF">
        <w:rPr>
          <w:rStyle w:val="free-label"/>
          <w:rFonts w:ascii="Arial" w:eastAsia="Times New Roman" w:hAnsi="Arial" w:cs="Arial"/>
          <w:b/>
          <w:bCs/>
          <w:color w:val="C05600"/>
          <w:sz w:val="24"/>
          <w:szCs w:val="24"/>
        </w:rPr>
        <w:t>Free PMC article</w:t>
      </w:r>
    </w:p>
    <w:p w14:paraId="6E108995" w14:textId="77777777" w:rsidR="00A1303C" w:rsidRPr="00014AFF" w:rsidRDefault="00A1303C" w:rsidP="00014AFF">
      <w:pPr>
        <w:pStyle w:val="Ttulo2"/>
        <w:shd w:val="clear" w:color="auto" w:fill="FFFFFF"/>
        <w:jc w:val="both"/>
        <w:rPr>
          <w:rFonts w:ascii="Arial" w:eastAsia="Times New Roman" w:hAnsi="Arial" w:cs="Arial"/>
          <w:color w:val="212121"/>
          <w:sz w:val="24"/>
          <w:szCs w:val="24"/>
        </w:rPr>
      </w:pPr>
      <w:r w:rsidRPr="00014AFF">
        <w:rPr>
          <w:rFonts w:ascii="Arial" w:eastAsia="Times New Roman" w:hAnsi="Arial" w:cs="Arial"/>
          <w:color w:val="212121"/>
          <w:sz w:val="24"/>
          <w:szCs w:val="24"/>
        </w:rPr>
        <w:t>Abstract</w:t>
      </w:r>
    </w:p>
    <w:p w14:paraId="0B7B17C3"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Background: </w:t>
      </w:r>
      <w:r w:rsidRPr="00014AFF">
        <w:rPr>
          <w:rFonts w:ascii="Arial" w:hAnsi="Arial" w:cs="Arial"/>
          <w:color w:val="212121"/>
          <w:sz w:val="24"/>
          <w:szCs w:val="24"/>
        </w:rPr>
        <w:t>Patients with obesity have an increased risk for adverse COVID-19 outcomes. Body mass index (BMI) does not acknowledge the health burden associated this disease. The performance of the Edmonton Obesity Staging System (EOSS), a clinical classification tool that assesses obesity-related comorbidity, is compared with BMI, with respect to adverse COVID-19 outcomes.</w:t>
      </w:r>
    </w:p>
    <w:p w14:paraId="0C4B466C"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Methods: </w:t>
      </w:r>
      <w:r w:rsidRPr="00014AFF">
        <w:rPr>
          <w:rFonts w:ascii="Arial" w:hAnsi="Arial" w:cs="Arial"/>
          <w:color w:val="212121"/>
          <w:sz w:val="24"/>
          <w:szCs w:val="24"/>
        </w:rPr>
        <w:t>1071 patients were evaluated in 11 COVID-19 hospitals in Mexico. Patients were classified into EOSS stages. Adjusted risk factors for COVID-19 outcomes were calculated and survival analysis for mechanical ventilation and death was carried out according to EOSS stage and BMI category.</w:t>
      </w:r>
    </w:p>
    <w:p w14:paraId="3ED941A6"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Results: </w:t>
      </w:r>
      <w:r w:rsidRPr="00014AFF">
        <w:rPr>
          <w:rFonts w:ascii="Arial" w:hAnsi="Arial" w:cs="Arial"/>
          <w:color w:val="212121"/>
          <w:sz w:val="24"/>
          <w:szCs w:val="24"/>
        </w:rPr>
        <w:t>The risk for intubation was higher in patients with EOSS stages 2 and 4 (HR 1.42, 95% CI 1.02-1.97 and 2.78, 95% CI 1.83-4.24), and in patients with BMI classes II and III (HR 1.71, 95% CI 1.06-2.74, and 2.62, 95% CI 1.65-4.17). Mortality rates were significantly lower in patients with EOSS stages 0 and 1 (HR 0.62, 95% CI 0.42-0.92) and higher in patients with BMI class III (HR 1.58, 95% CI 1.03-2.42). In patients with a BMI ≥ 25 kg/m</w:t>
      </w:r>
      <w:r w:rsidRPr="00014AFF">
        <w:rPr>
          <w:rFonts w:ascii="Arial" w:hAnsi="Arial" w:cs="Arial"/>
          <w:color w:val="212121"/>
          <w:sz w:val="24"/>
          <w:szCs w:val="24"/>
          <w:vertAlign w:val="superscript"/>
        </w:rPr>
        <w:t>2</w:t>
      </w:r>
      <w:r w:rsidRPr="00014AFF">
        <w:rPr>
          <w:rFonts w:ascii="Arial" w:hAnsi="Arial" w:cs="Arial"/>
          <w:color w:val="212121"/>
          <w:sz w:val="24"/>
          <w:szCs w:val="24"/>
        </w:rPr>
        <w:t>, the risk for intubation increased with progressive EOSS stages. Only individuals in BMI class III showed an increased risk for intubation (HR 2.24, 95% CI 1.50-3.34). Mortality risk was increased in EOSS stages 2 and 4 compared to EOSS 0 and 1, and in patients with BMI class II and III, compared to patients with overweight.</w:t>
      </w:r>
    </w:p>
    <w:p w14:paraId="7359DAF3" w14:textId="59318939"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Conclusions: </w:t>
      </w:r>
      <w:r w:rsidRPr="00014AFF">
        <w:rPr>
          <w:rFonts w:ascii="Arial" w:hAnsi="Arial" w:cs="Arial"/>
          <w:color w:val="212121"/>
          <w:sz w:val="24"/>
          <w:szCs w:val="24"/>
        </w:rPr>
        <w:t>EOSS was associated with adverse COVID-19 outcomes, and it distinguished risks beyond BMI. Patients with overweight and obesity in EOSS stages 0 and 1 had a lower risk than patients with normal weight. BMI does not adequately reflect adipose tissue-associated disease, it is not ideal for guiding chronic-disease management.</w:t>
      </w:r>
      <w:r w:rsidR="00ED4D17" w:rsidRPr="00014AFF">
        <w:rPr>
          <w:rFonts w:ascii="Arial" w:hAnsi="Arial" w:cs="Arial"/>
          <w:color w:val="212121"/>
          <w:sz w:val="24"/>
          <w:szCs w:val="24"/>
        </w:rPr>
        <w:br w:type="page"/>
      </w:r>
    </w:p>
    <w:p w14:paraId="102254EF" w14:textId="77777777" w:rsidR="00A1303C" w:rsidRPr="00014AFF" w:rsidRDefault="00A1303C" w:rsidP="00014AFF">
      <w:pPr>
        <w:pStyle w:val="Ttulo1"/>
        <w:jc w:val="both"/>
        <w:rPr>
          <w:rFonts w:ascii="Arial" w:eastAsia="Times New Roman" w:hAnsi="Arial" w:cs="Arial"/>
          <w:sz w:val="24"/>
          <w:szCs w:val="24"/>
        </w:rPr>
      </w:pPr>
      <w:r w:rsidRPr="00014AFF">
        <w:rPr>
          <w:rFonts w:ascii="Arial" w:eastAsia="Times New Roman" w:hAnsi="Arial" w:cs="Arial"/>
          <w:sz w:val="24"/>
          <w:szCs w:val="24"/>
        </w:rPr>
        <w:lastRenderedPageBreak/>
        <w:t>Factors for success of awake prone positioning in patients with COVID-19-induced acute hypoxemic respiratory failure: analysis of a randomized controlled trial</w:t>
      </w:r>
    </w:p>
    <w:p w14:paraId="015E6747" w14:textId="77777777" w:rsidR="00A1303C" w:rsidRPr="00014AFF" w:rsidRDefault="00A1303C" w:rsidP="00014AFF">
      <w:pPr>
        <w:pStyle w:val="Ttulo2"/>
        <w:shd w:val="clear" w:color="auto" w:fill="FFFFFF"/>
        <w:jc w:val="both"/>
        <w:rPr>
          <w:rFonts w:ascii="Arial" w:eastAsia="Times New Roman" w:hAnsi="Arial" w:cs="Arial"/>
          <w:color w:val="212121"/>
          <w:sz w:val="24"/>
          <w:szCs w:val="24"/>
        </w:rPr>
      </w:pPr>
      <w:r w:rsidRPr="00014AFF">
        <w:rPr>
          <w:rFonts w:ascii="Arial" w:eastAsia="Times New Roman" w:hAnsi="Arial" w:cs="Arial"/>
          <w:color w:val="212121"/>
          <w:sz w:val="24"/>
          <w:szCs w:val="24"/>
        </w:rPr>
        <w:t>Abstract</w:t>
      </w:r>
    </w:p>
    <w:p w14:paraId="1DACB575"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Background: </w:t>
      </w:r>
      <w:r w:rsidRPr="00014AFF">
        <w:rPr>
          <w:rFonts w:ascii="Arial" w:hAnsi="Arial" w:cs="Arial"/>
          <w:color w:val="212121"/>
          <w:sz w:val="24"/>
          <w:szCs w:val="24"/>
        </w:rPr>
        <w:t>Awake prone positioning (APP) improves oxygenation in coronavirus disease (COVID-19) patients and, when successful, may decrease the risk of intubation. However, factors associated with APP success remain unknown. In this secondary analysis, we aimed to assess whether APP can reduce intubation rate in patients with COVID-19 and to focus on the factors associated with success.</w:t>
      </w:r>
    </w:p>
    <w:p w14:paraId="05BA18DC"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Methods: </w:t>
      </w:r>
      <w:r w:rsidRPr="00014AFF">
        <w:rPr>
          <w:rFonts w:ascii="Arial" w:hAnsi="Arial" w:cs="Arial"/>
          <w:color w:val="212121"/>
          <w:sz w:val="24"/>
          <w:szCs w:val="24"/>
        </w:rPr>
        <w:t>In this multicenter randomized controlled trial, conducted in three high-acuity units, we randomly assigned patients with COVID-19-induced acute hypoxemic respiratory failure (AHRF) requiring high-flow nasal cannula (HFNC) oxygen to APP or standard care. Primary outcome was intubation rate at 28 days. Multivariate analyses were performed to identify the predictors associated to treatment success (survival without intubation).</w:t>
      </w:r>
    </w:p>
    <w:p w14:paraId="4F58563F"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Results: </w:t>
      </w:r>
      <w:r w:rsidRPr="00014AFF">
        <w:rPr>
          <w:rFonts w:ascii="Arial" w:hAnsi="Arial" w:cs="Arial"/>
          <w:color w:val="212121"/>
          <w:sz w:val="24"/>
          <w:szCs w:val="24"/>
        </w:rPr>
        <w:t>Among 430 patients randomized, 216 were assigned to APP and 214 to standard care. The APP group had a lower intubation rate (30% vs 43%, relative risk [RR] 0.70; CI</w:t>
      </w:r>
      <w:r w:rsidRPr="00014AFF">
        <w:rPr>
          <w:rFonts w:ascii="Arial" w:hAnsi="Arial" w:cs="Arial"/>
          <w:color w:val="212121"/>
          <w:sz w:val="24"/>
          <w:szCs w:val="24"/>
          <w:vertAlign w:val="subscript"/>
        </w:rPr>
        <w:t>95</w:t>
      </w:r>
      <w:r w:rsidRPr="00014AFF">
        <w:rPr>
          <w:rFonts w:ascii="Arial" w:hAnsi="Arial" w:cs="Arial"/>
          <w:color w:val="212121"/>
          <w:sz w:val="24"/>
          <w:szCs w:val="24"/>
        </w:rPr>
        <w:t> 0.54-0.90, P = 0.006) and shorter hospital length of stay (11 interquartile range [IQR, 9-14] vs 13 [IQR, 10-17] days, P = 0.001). A respiratory rate ≤ 25 bpm at enrollment, an increase in ROX index &gt; 1.25 after first APP session, APP duration &gt; 8 h/day, and a decrease in lung ultrasound score ≥ 2 within the first 3 days were significantly associated with treatment success for APP.</w:t>
      </w:r>
    </w:p>
    <w:p w14:paraId="0AF1986D"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Conclusion: </w:t>
      </w:r>
      <w:r w:rsidRPr="00014AFF">
        <w:rPr>
          <w:rFonts w:ascii="Arial" w:hAnsi="Arial" w:cs="Arial"/>
          <w:color w:val="212121"/>
          <w:sz w:val="24"/>
          <w:szCs w:val="24"/>
        </w:rPr>
        <w:t>In patients with COVID-19-induced AHRF treated by HFNC, APP reduced intubation rate and improved treatment success. A longer APP duration is associated with APP success, while the increase in ROX index and decrease in lung ultrasound score after APP can also help identify patients most likely to benefit.</w:t>
      </w:r>
    </w:p>
    <w:p w14:paraId="71714E2F"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Trial registration: </w:t>
      </w:r>
      <w:r w:rsidRPr="00014AFF">
        <w:rPr>
          <w:rFonts w:ascii="Arial" w:hAnsi="Arial" w:cs="Arial"/>
          <w:color w:val="212121"/>
          <w:sz w:val="24"/>
          <w:szCs w:val="24"/>
        </w:rPr>
        <w:t>This study was retrospectively registered in ClinicalTrials.gov at July 20, 2021. Identification number </w:t>
      </w:r>
      <w:hyperlink r:id="rId8" w:tooltip="See in ClinicalTrials.gov" w:history="1">
        <w:r w:rsidRPr="00014AFF">
          <w:rPr>
            <w:rStyle w:val="Hipervnculo"/>
            <w:rFonts w:ascii="Arial" w:hAnsi="Arial" w:cs="Arial"/>
            <w:color w:val="0071BC"/>
            <w:sz w:val="24"/>
            <w:szCs w:val="24"/>
          </w:rPr>
          <w:t>NCT04477655</w:t>
        </w:r>
      </w:hyperlink>
      <w:r w:rsidRPr="00014AFF">
        <w:rPr>
          <w:rFonts w:ascii="Arial" w:hAnsi="Arial" w:cs="Arial"/>
          <w:color w:val="212121"/>
          <w:sz w:val="24"/>
          <w:szCs w:val="24"/>
        </w:rPr>
        <w:t>. https://clinicaltrials.gov/ct2/show/NCT04477655?term=PRO-CARF&amp;draw=2&amp;rank=1.</w:t>
      </w:r>
    </w:p>
    <w:p w14:paraId="22D150F2" w14:textId="77777777" w:rsidR="00A1303C" w:rsidRPr="00014AFF" w:rsidRDefault="00A1303C" w:rsidP="00014AFF">
      <w:pPr>
        <w:pStyle w:val="NormalWeb"/>
        <w:shd w:val="clear" w:color="auto" w:fill="FFFFFF"/>
        <w:jc w:val="both"/>
        <w:rPr>
          <w:rFonts w:ascii="Arial" w:hAnsi="Arial" w:cs="Arial"/>
          <w:color w:val="212121"/>
          <w:sz w:val="24"/>
          <w:szCs w:val="24"/>
        </w:rPr>
      </w:pPr>
      <w:r w:rsidRPr="00014AFF">
        <w:rPr>
          <w:rStyle w:val="Textoennegrita"/>
          <w:rFonts w:ascii="Arial" w:hAnsi="Arial" w:cs="Arial"/>
          <w:color w:val="212121"/>
          <w:sz w:val="24"/>
          <w:szCs w:val="24"/>
        </w:rPr>
        <w:t>Keywords: </w:t>
      </w:r>
      <w:r w:rsidRPr="00014AFF">
        <w:rPr>
          <w:rFonts w:ascii="Arial" w:hAnsi="Arial" w:cs="Arial"/>
          <w:color w:val="212121"/>
          <w:sz w:val="24"/>
          <w:szCs w:val="24"/>
        </w:rPr>
        <w:t>Acute hypoxemic respiratory failure; Awake prone positioning; COVID-19; Intubation.</w:t>
      </w:r>
    </w:p>
    <w:p w14:paraId="537BD8AD" w14:textId="77777777" w:rsidR="00014AFF" w:rsidRPr="00014AFF" w:rsidRDefault="00014AFF" w:rsidP="00014AFF">
      <w:pPr>
        <w:jc w:val="both"/>
        <w:rPr>
          <w:rFonts w:ascii="Arial" w:eastAsia="Times New Roman" w:hAnsi="Arial" w:cs="Arial"/>
          <w:sz w:val="24"/>
          <w:szCs w:val="24"/>
        </w:rPr>
      </w:pPr>
    </w:p>
    <w:p w14:paraId="21A9EB34" w14:textId="2AC3ED0B" w:rsidR="00ED4D17" w:rsidRPr="00014AFF" w:rsidRDefault="00ED4D17" w:rsidP="00014AFF">
      <w:pPr>
        <w:jc w:val="both"/>
        <w:rPr>
          <w:rFonts w:ascii="Arial" w:eastAsia="Times New Roman" w:hAnsi="Arial" w:cs="Arial"/>
          <w:b/>
          <w:sz w:val="24"/>
          <w:szCs w:val="24"/>
        </w:rPr>
      </w:pPr>
      <w:r w:rsidRPr="00014AFF">
        <w:rPr>
          <w:rFonts w:ascii="Arial" w:eastAsia="Times New Roman" w:hAnsi="Arial" w:cs="Arial"/>
          <w:b/>
          <w:sz w:val="24"/>
          <w:szCs w:val="24"/>
        </w:rPr>
        <w:t>Perforación de la valva no coronariana en un paciente con síndrome de Laubry-Pezzi</w:t>
      </w:r>
    </w:p>
    <w:p w14:paraId="51CEC0AC" w14:textId="77777777" w:rsidR="00ED4D17" w:rsidRPr="00014AFF" w:rsidRDefault="00ED4D17" w:rsidP="00014AFF">
      <w:pPr>
        <w:shd w:val="clear" w:color="auto" w:fill="FFFFFF"/>
        <w:spacing w:after="0"/>
        <w:jc w:val="both"/>
        <w:rPr>
          <w:rFonts w:ascii="Arial" w:eastAsia="Times New Roman" w:hAnsi="Arial" w:cs="Arial"/>
          <w:color w:val="212121"/>
          <w:sz w:val="24"/>
          <w:szCs w:val="24"/>
        </w:rPr>
      </w:pPr>
      <w:r w:rsidRPr="00014AFF">
        <w:rPr>
          <w:rStyle w:val="nfasis"/>
          <w:rFonts w:ascii="Arial" w:eastAsia="Times New Roman" w:hAnsi="Arial" w:cs="Arial"/>
          <w:color w:val="5B616B"/>
          <w:sz w:val="24"/>
          <w:szCs w:val="24"/>
        </w:rPr>
        <w:t>No abstract available</w:t>
      </w:r>
    </w:p>
    <w:sectPr w:rsidR="00ED4D17" w:rsidRPr="00014AFF" w:rsidSect="001F2A16">
      <w:headerReference w:type="even" r:id="rId9"/>
      <w:headerReference w:type="default" r:id="rId10"/>
      <w:footerReference w:type="default" r:id="rId1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28974" w14:textId="77777777" w:rsidR="00D47B68" w:rsidRDefault="00D47B68" w:rsidP="00F977B3">
      <w:pPr>
        <w:spacing w:after="0" w:line="240" w:lineRule="auto"/>
      </w:pPr>
      <w:r>
        <w:separator/>
      </w:r>
    </w:p>
  </w:endnote>
  <w:endnote w:type="continuationSeparator" w:id="0">
    <w:p w14:paraId="0DA470EE" w14:textId="77777777" w:rsidR="00D47B68" w:rsidRDefault="00D47B68"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ED4D17" w:rsidRDefault="00ED4D17">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8E83E" w14:textId="77777777" w:rsidR="00D47B68" w:rsidRDefault="00D47B68" w:rsidP="00F977B3">
      <w:pPr>
        <w:spacing w:after="0" w:line="240" w:lineRule="auto"/>
      </w:pPr>
      <w:r>
        <w:separator/>
      </w:r>
    </w:p>
  </w:footnote>
  <w:footnote w:type="continuationSeparator" w:id="0">
    <w:p w14:paraId="3D6AA127" w14:textId="77777777" w:rsidR="00D47B68" w:rsidRDefault="00D47B68"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ED4D17" w:rsidRDefault="00D47B68">
    <w:pPr>
      <w:pStyle w:val="Encabezado"/>
    </w:pPr>
    <w:sdt>
      <w:sdtPr>
        <w:id w:val="171999623"/>
        <w:placeholder>
          <w:docPart w:val="2633221B11E4B741B6836EAA5AC09AFD"/>
        </w:placeholder>
        <w:temporary/>
        <w:showingPlcHdr/>
      </w:sdtPr>
      <w:sdtEndPr/>
      <w:sdtContent>
        <w:r w:rsidR="00ED4D17">
          <w:t>[Escriba texto]</w:t>
        </w:r>
      </w:sdtContent>
    </w:sdt>
    <w:r w:rsidR="00ED4D17">
      <w:ptab w:relativeTo="margin" w:alignment="center" w:leader="none"/>
    </w:r>
    <w:sdt>
      <w:sdtPr>
        <w:id w:val="171999624"/>
        <w:placeholder>
          <w:docPart w:val="DCCB90A6E3C8044C9EF5243A31D90017"/>
        </w:placeholder>
        <w:temporary/>
        <w:showingPlcHdr/>
      </w:sdtPr>
      <w:sdtEndPr/>
      <w:sdtContent>
        <w:r w:rsidR="00ED4D17">
          <w:t>[Escriba texto]</w:t>
        </w:r>
      </w:sdtContent>
    </w:sdt>
    <w:r w:rsidR="00ED4D17">
      <w:ptab w:relativeTo="margin" w:alignment="right" w:leader="none"/>
    </w:r>
    <w:sdt>
      <w:sdtPr>
        <w:id w:val="171999625"/>
        <w:placeholder>
          <w:docPart w:val="AF1DC4D04B87C740A3CD4B160ADBC2A3"/>
        </w:placeholder>
        <w:temporary/>
        <w:showingPlcHdr/>
      </w:sdtPr>
      <w:sdtEndPr/>
      <w:sdtContent>
        <w:r w:rsidR="00ED4D17">
          <w:t>[Escriba texto]</w:t>
        </w:r>
      </w:sdtContent>
    </w:sdt>
  </w:p>
  <w:p w14:paraId="5727748C" w14:textId="77777777" w:rsidR="00ED4D17" w:rsidRDefault="00ED4D1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ED4D17" w:rsidRDefault="00ED4D17">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5E34"/>
    <w:multiLevelType w:val="multilevel"/>
    <w:tmpl w:val="58CE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B6D58"/>
    <w:multiLevelType w:val="multilevel"/>
    <w:tmpl w:val="30AE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75C29"/>
    <w:multiLevelType w:val="multilevel"/>
    <w:tmpl w:val="A1F0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A47F1A"/>
    <w:multiLevelType w:val="multilevel"/>
    <w:tmpl w:val="A112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5500E"/>
    <w:multiLevelType w:val="multilevel"/>
    <w:tmpl w:val="D3B0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55707"/>
    <w:multiLevelType w:val="multilevel"/>
    <w:tmpl w:val="C4C8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B29B4"/>
    <w:multiLevelType w:val="multilevel"/>
    <w:tmpl w:val="4A98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4D6393"/>
    <w:multiLevelType w:val="multilevel"/>
    <w:tmpl w:val="999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5748FE"/>
    <w:multiLevelType w:val="multilevel"/>
    <w:tmpl w:val="1EA4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2F1B95"/>
    <w:multiLevelType w:val="multilevel"/>
    <w:tmpl w:val="A16E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8"/>
  </w:num>
  <w:num w:numId="4">
    <w:abstractNumId w:val="1"/>
  </w:num>
  <w:num w:numId="5">
    <w:abstractNumId w:val="3"/>
  </w:num>
  <w:num w:numId="6">
    <w:abstractNumId w:val="6"/>
  </w:num>
  <w:num w:numId="7">
    <w:abstractNumId w:val="5"/>
  </w:num>
  <w:num w:numId="8">
    <w:abstractNumId w:val="0"/>
  </w:num>
  <w:num w:numId="9">
    <w:abstractNumId w:val="9"/>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AFF"/>
    <w:rsid w:val="00014BBC"/>
    <w:rsid w:val="00017BA8"/>
    <w:rsid w:val="00071FFF"/>
    <w:rsid w:val="000A62CA"/>
    <w:rsid w:val="000B3345"/>
    <w:rsid w:val="000C6BCC"/>
    <w:rsid w:val="00101BB2"/>
    <w:rsid w:val="00114917"/>
    <w:rsid w:val="00132D05"/>
    <w:rsid w:val="001A117C"/>
    <w:rsid w:val="001F2A16"/>
    <w:rsid w:val="00200E4A"/>
    <w:rsid w:val="00210459"/>
    <w:rsid w:val="00231651"/>
    <w:rsid w:val="00251F61"/>
    <w:rsid w:val="00265A6C"/>
    <w:rsid w:val="00290860"/>
    <w:rsid w:val="002E6E60"/>
    <w:rsid w:val="00350D1F"/>
    <w:rsid w:val="0035469A"/>
    <w:rsid w:val="00360283"/>
    <w:rsid w:val="00385543"/>
    <w:rsid w:val="00386444"/>
    <w:rsid w:val="00395363"/>
    <w:rsid w:val="003B345D"/>
    <w:rsid w:val="003E510F"/>
    <w:rsid w:val="004037E2"/>
    <w:rsid w:val="00416B0E"/>
    <w:rsid w:val="0042501C"/>
    <w:rsid w:val="00437C13"/>
    <w:rsid w:val="00471834"/>
    <w:rsid w:val="00486A99"/>
    <w:rsid w:val="004874AE"/>
    <w:rsid w:val="004C138C"/>
    <w:rsid w:val="004F3DA0"/>
    <w:rsid w:val="005052A4"/>
    <w:rsid w:val="00507E54"/>
    <w:rsid w:val="005322D0"/>
    <w:rsid w:val="00533FA8"/>
    <w:rsid w:val="00544742"/>
    <w:rsid w:val="005479A8"/>
    <w:rsid w:val="00574219"/>
    <w:rsid w:val="00594E53"/>
    <w:rsid w:val="00612C60"/>
    <w:rsid w:val="00616645"/>
    <w:rsid w:val="006214BB"/>
    <w:rsid w:val="006273CC"/>
    <w:rsid w:val="006612BD"/>
    <w:rsid w:val="00673FF7"/>
    <w:rsid w:val="006802E2"/>
    <w:rsid w:val="007465FD"/>
    <w:rsid w:val="00750481"/>
    <w:rsid w:val="00777C71"/>
    <w:rsid w:val="007820EB"/>
    <w:rsid w:val="007F5491"/>
    <w:rsid w:val="008168A9"/>
    <w:rsid w:val="00821C17"/>
    <w:rsid w:val="0085224C"/>
    <w:rsid w:val="008523CE"/>
    <w:rsid w:val="00852552"/>
    <w:rsid w:val="00870E56"/>
    <w:rsid w:val="0088717E"/>
    <w:rsid w:val="008F1BAA"/>
    <w:rsid w:val="0091791B"/>
    <w:rsid w:val="00924B2B"/>
    <w:rsid w:val="00984691"/>
    <w:rsid w:val="00A1303C"/>
    <w:rsid w:val="00A160C0"/>
    <w:rsid w:val="00A772D4"/>
    <w:rsid w:val="00A80864"/>
    <w:rsid w:val="00A8677F"/>
    <w:rsid w:val="00A878BF"/>
    <w:rsid w:val="00B25F15"/>
    <w:rsid w:val="00C579EF"/>
    <w:rsid w:val="00C61588"/>
    <w:rsid w:val="00C864E8"/>
    <w:rsid w:val="00C870BE"/>
    <w:rsid w:val="00CA123C"/>
    <w:rsid w:val="00D1287E"/>
    <w:rsid w:val="00D47B68"/>
    <w:rsid w:val="00D53D6A"/>
    <w:rsid w:val="00D73D33"/>
    <w:rsid w:val="00DB0BC5"/>
    <w:rsid w:val="00DE661B"/>
    <w:rsid w:val="00DF6AA9"/>
    <w:rsid w:val="00E542EF"/>
    <w:rsid w:val="00EA162C"/>
    <w:rsid w:val="00EB6406"/>
    <w:rsid w:val="00ED4D17"/>
    <w:rsid w:val="00EE6E14"/>
    <w:rsid w:val="00F27373"/>
    <w:rsid w:val="00F32661"/>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8E830B51-497E-4F3E-BA9B-D02FD560F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embargo-date-block">
    <w:name w:val="embargo-date-block"/>
    <w:basedOn w:val="Fuentedeprrafopredeter"/>
    <w:rsid w:val="00A16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07815345">
      <w:bodyDiv w:val="1"/>
      <w:marLeft w:val="0"/>
      <w:marRight w:val="0"/>
      <w:marTop w:val="0"/>
      <w:marBottom w:val="0"/>
      <w:divBdr>
        <w:top w:val="none" w:sz="0" w:space="0" w:color="auto"/>
        <w:left w:val="none" w:sz="0" w:space="0" w:color="auto"/>
        <w:bottom w:val="none" w:sz="0" w:space="0" w:color="auto"/>
        <w:right w:val="none" w:sz="0" w:space="0" w:color="auto"/>
      </w:divBdr>
      <w:divsChild>
        <w:div w:id="1230311859">
          <w:marLeft w:val="0"/>
          <w:marRight w:val="0"/>
          <w:marTop w:val="0"/>
          <w:marBottom w:val="0"/>
          <w:divBdr>
            <w:top w:val="none" w:sz="0" w:space="0" w:color="auto"/>
            <w:left w:val="none" w:sz="0" w:space="0" w:color="auto"/>
            <w:bottom w:val="none" w:sz="0" w:space="0" w:color="auto"/>
            <w:right w:val="none" w:sz="0" w:space="0" w:color="auto"/>
          </w:divBdr>
          <w:divsChild>
            <w:div w:id="951132179">
              <w:marLeft w:val="0"/>
              <w:marRight w:val="0"/>
              <w:marTop w:val="0"/>
              <w:marBottom w:val="0"/>
              <w:divBdr>
                <w:top w:val="none" w:sz="0" w:space="0" w:color="auto"/>
                <w:left w:val="none" w:sz="0" w:space="0" w:color="auto"/>
                <w:bottom w:val="none" w:sz="0" w:space="0" w:color="auto"/>
                <w:right w:val="none" w:sz="0" w:space="0" w:color="auto"/>
              </w:divBdr>
              <w:divsChild>
                <w:div w:id="749624635">
                  <w:marLeft w:val="0"/>
                  <w:marRight w:val="0"/>
                  <w:marTop w:val="0"/>
                  <w:marBottom w:val="0"/>
                  <w:divBdr>
                    <w:top w:val="none" w:sz="0" w:space="0" w:color="auto"/>
                    <w:left w:val="none" w:sz="0" w:space="0" w:color="auto"/>
                    <w:bottom w:val="none" w:sz="0" w:space="0" w:color="auto"/>
                    <w:right w:val="none" w:sz="0" w:space="0" w:color="auto"/>
                  </w:divBdr>
                </w:div>
                <w:div w:id="1793792310">
                  <w:marLeft w:val="0"/>
                  <w:marRight w:val="0"/>
                  <w:marTop w:val="0"/>
                  <w:marBottom w:val="0"/>
                  <w:divBdr>
                    <w:top w:val="none" w:sz="0" w:space="0" w:color="auto"/>
                    <w:left w:val="none" w:sz="0" w:space="0" w:color="auto"/>
                    <w:bottom w:val="none" w:sz="0" w:space="0" w:color="auto"/>
                    <w:right w:val="none" w:sz="0" w:space="0" w:color="auto"/>
                  </w:divBdr>
                  <w:divsChild>
                    <w:div w:id="1724137539">
                      <w:marLeft w:val="0"/>
                      <w:marRight w:val="0"/>
                      <w:marTop w:val="0"/>
                      <w:marBottom w:val="0"/>
                      <w:divBdr>
                        <w:top w:val="none" w:sz="0" w:space="0" w:color="auto"/>
                        <w:left w:val="none" w:sz="0" w:space="0" w:color="auto"/>
                        <w:bottom w:val="none" w:sz="0" w:space="0" w:color="auto"/>
                        <w:right w:val="none" w:sz="0" w:space="0" w:color="auto"/>
                      </w:divBdr>
                      <w:divsChild>
                        <w:div w:id="7067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1973">
              <w:marLeft w:val="0"/>
              <w:marRight w:val="0"/>
              <w:marTop w:val="0"/>
              <w:marBottom w:val="0"/>
              <w:divBdr>
                <w:top w:val="none" w:sz="0" w:space="0" w:color="auto"/>
                <w:left w:val="none" w:sz="0" w:space="0" w:color="auto"/>
                <w:bottom w:val="none" w:sz="0" w:space="0" w:color="auto"/>
                <w:right w:val="none" w:sz="0" w:space="0" w:color="auto"/>
              </w:divBdr>
              <w:divsChild>
                <w:div w:id="1496147635">
                  <w:marLeft w:val="0"/>
                  <w:marRight w:val="0"/>
                  <w:marTop w:val="0"/>
                  <w:marBottom w:val="0"/>
                  <w:divBdr>
                    <w:top w:val="none" w:sz="0" w:space="0" w:color="auto"/>
                    <w:left w:val="none" w:sz="0" w:space="0" w:color="auto"/>
                    <w:bottom w:val="none" w:sz="0" w:space="0" w:color="auto"/>
                    <w:right w:val="none" w:sz="0" w:space="0" w:color="auto"/>
                  </w:divBdr>
                  <w:divsChild>
                    <w:div w:id="20553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549">
              <w:marLeft w:val="0"/>
              <w:marRight w:val="0"/>
              <w:marTop w:val="0"/>
              <w:marBottom w:val="0"/>
              <w:divBdr>
                <w:top w:val="none" w:sz="0" w:space="0" w:color="auto"/>
                <w:left w:val="none" w:sz="0" w:space="0" w:color="auto"/>
                <w:bottom w:val="none" w:sz="0" w:space="0" w:color="auto"/>
                <w:right w:val="none" w:sz="0" w:space="0" w:color="auto"/>
              </w:divBdr>
            </w:div>
          </w:divsChild>
        </w:div>
        <w:div w:id="1618295852">
          <w:marLeft w:val="0"/>
          <w:marRight w:val="0"/>
          <w:marTop w:val="0"/>
          <w:marBottom w:val="0"/>
          <w:divBdr>
            <w:top w:val="none" w:sz="0" w:space="0" w:color="auto"/>
            <w:left w:val="none" w:sz="0" w:space="0" w:color="auto"/>
            <w:bottom w:val="none" w:sz="0" w:space="0" w:color="auto"/>
            <w:right w:val="none" w:sz="0" w:space="0" w:color="auto"/>
          </w:divBdr>
          <w:divsChild>
            <w:div w:id="1116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5711">
      <w:bodyDiv w:val="1"/>
      <w:marLeft w:val="0"/>
      <w:marRight w:val="0"/>
      <w:marTop w:val="0"/>
      <w:marBottom w:val="0"/>
      <w:divBdr>
        <w:top w:val="none" w:sz="0" w:space="0" w:color="auto"/>
        <w:left w:val="none" w:sz="0" w:space="0" w:color="auto"/>
        <w:bottom w:val="none" w:sz="0" w:space="0" w:color="auto"/>
        <w:right w:val="none" w:sz="0" w:space="0" w:color="auto"/>
      </w:divBdr>
      <w:divsChild>
        <w:div w:id="694575649">
          <w:marLeft w:val="0"/>
          <w:marRight w:val="0"/>
          <w:marTop w:val="0"/>
          <w:marBottom w:val="0"/>
          <w:divBdr>
            <w:top w:val="none" w:sz="0" w:space="0" w:color="auto"/>
            <w:left w:val="none" w:sz="0" w:space="0" w:color="auto"/>
            <w:bottom w:val="none" w:sz="0" w:space="0" w:color="auto"/>
            <w:right w:val="none" w:sz="0" w:space="0" w:color="auto"/>
          </w:divBdr>
          <w:divsChild>
            <w:div w:id="1251965402">
              <w:marLeft w:val="0"/>
              <w:marRight w:val="0"/>
              <w:marTop w:val="0"/>
              <w:marBottom w:val="0"/>
              <w:divBdr>
                <w:top w:val="none" w:sz="0" w:space="0" w:color="auto"/>
                <w:left w:val="none" w:sz="0" w:space="0" w:color="auto"/>
                <w:bottom w:val="none" w:sz="0" w:space="0" w:color="auto"/>
                <w:right w:val="none" w:sz="0" w:space="0" w:color="auto"/>
              </w:divBdr>
              <w:divsChild>
                <w:div w:id="50659850">
                  <w:marLeft w:val="0"/>
                  <w:marRight w:val="0"/>
                  <w:marTop w:val="0"/>
                  <w:marBottom w:val="0"/>
                  <w:divBdr>
                    <w:top w:val="none" w:sz="0" w:space="0" w:color="auto"/>
                    <w:left w:val="none" w:sz="0" w:space="0" w:color="auto"/>
                    <w:bottom w:val="none" w:sz="0" w:space="0" w:color="auto"/>
                    <w:right w:val="none" w:sz="0" w:space="0" w:color="auto"/>
                  </w:divBdr>
                  <w:divsChild>
                    <w:div w:id="532305973">
                      <w:marLeft w:val="0"/>
                      <w:marRight w:val="0"/>
                      <w:marTop w:val="0"/>
                      <w:marBottom w:val="0"/>
                      <w:divBdr>
                        <w:top w:val="none" w:sz="0" w:space="0" w:color="auto"/>
                        <w:left w:val="none" w:sz="0" w:space="0" w:color="auto"/>
                        <w:bottom w:val="none" w:sz="0" w:space="0" w:color="auto"/>
                        <w:right w:val="none" w:sz="0" w:space="0" w:color="auto"/>
                      </w:divBdr>
                      <w:divsChild>
                        <w:div w:id="3155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5462">
              <w:marLeft w:val="0"/>
              <w:marRight w:val="0"/>
              <w:marTop w:val="0"/>
              <w:marBottom w:val="0"/>
              <w:divBdr>
                <w:top w:val="none" w:sz="0" w:space="0" w:color="auto"/>
                <w:left w:val="none" w:sz="0" w:space="0" w:color="auto"/>
                <w:bottom w:val="none" w:sz="0" w:space="0" w:color="auto"/>
                <w:right w:val="none" w:sz="0" w:space="0" w:color="auto"/>
              </w:divBdr>
              <w:divsChild>
                <w:div w:id="1168865625">
                  <w:marLeft w:val="0"/>
                  <w:marRight w:val="0"/>
                  <w:marTop w:val="0"/>
                  <w:marBottom w:val="0"/>
                  <w:divBdr>
                    <w:top w:val="none" w:sz="0" w:space="0" w:color="auto"/>
                    <w:left w:val="none" w:sz="0" w:space="0" w:color="auto"/>
                    <w:bottom w:val="none" w:sz="0" w:space="0" w:color="auto"/>
                    <w:right w:val="none" w:sz="0" w:space="0" w:color="auto"/>
                  </w:divBdr>
                  <w:divsChild>
                    <w:div w:id="14896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5093">
              <w:marLeft w:val="0"/>
              <w:marRight w:val="0"/>
              <w:marTop w:val="0"/>
              <w:marBottom w:val="0"/>
              <w:divBdr>
                <w:top w:val="none" w:sz="0" w:space="0" w:color="auto"/>
                <w:left w:val="none" w:sz="0" w:space="0" w:color="auto"/>
                <w:bottom w:val="none" w:sz="0" w:space="0" w:color="auto"/>
                <w:right w:val="none" w:sz="0" w:space="0" w:color="auto"/>
              </w:divBdr>
            </w:div>
          </w:divsChild>
        </w:div>
        <w:div w:id="753475263">
          <w:marLeft w:val="0"/>
          <w:marRight w:val="0"/>
          <w:marTop w:val="0"/>
          <w:marBottom w:val="0"/>
          <w:divBdr>
            <w:top w:val="none" w:sz="0" w:space="0" w:color="auto"/>
            <w:left w:val="none" w:sz="0" w:space="0" w:color="auto"/>
            <w:bottom w:val="none" w:sz="0" w:space="0" w:color="auto"/>
            <w:right w:val="none" w:sz="0" w:space="0" w:color="auto"/>
          </w:divBdr>
          <w:divsChild>
            <w:div w:id="8012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1042">
      <w:bodyDiv w:val="1"/>
      <w:marLeft w:val="0"/>
      <w:marRight w:val="0"/>
      <w:marTop w:val="0"/>
      <w:marBottom w:val="0"/>
      <w:divBdr>
        <w:top w:val="none" w:sz="0" w:space="0" w:color="auto"/>
        <w:left w:val="none" w:sz="0" w:space="0" w:color="auto"/>
        <w:bottom w:val="none" w:sz="0" w:space="0" w:color="auto"/>
        <w:right w:val="none" w:sz="0" w:space="0" w:color="auto"/>
      </w:divBdr>
      <w:divsChild>
        <w:div w:id="1686713675">
          <w:marLeft w:val="0"/>
          <w:marRight w:val="0"/>
          <w:marTop w:val="0"/>
          <w:marBottom w:val="0"/>
          <w:divBdr>
            <w:top w:val="none" w:sz="0" w:space="0" w:color="auto"/>
            <w:left w:val="none" w:sz="0" w:space="0" w:color="auto"/>
            <w:bottom w:val="none" w:sz="0" w:space="0" w:color="auto"/>
            <w:right w:val="none" w:sz="0" w:space="0" w:color="auto"/>
          </w:divBdr>
          <w:divsChild>
            <w:div w:id="198051628">
              <w:marLeft w:val="0"/>
              <w:marRight w:val="0"/>
              <w:marTop w:val="0"/>
              <w:marBottom w:val="0"/>
              <w:divBdr>
                <w:top w:val="none" w:sz="0" w:space="0" w:color="auto"/>
                <w:left w:val="none" w:sz="0" w:space="0" w:color="auto"/>
                <w:bottom w:val="none" w:sz="0" w:space="0" w:color="auto"/>
                <w:right w:val="none" w:sz="0" w:space="0" w:color="auto"/>
              </w:divBdr>
              <w:divsChild>
                <w:div w:id="482892523">
                  <w:marLeft w:val="0"/>
                  <w:marRight w:val="0"/>
                  <w:marTop w:val="0"/>
                  <w:marBottom w:val="0"/>
                  <w:divBdr>
                    <w:top w:val="none" w:sz="0" w:space="0" w:color="auto"/>
                    <w:left w:val="none" w:sz="0" w:space="0" w:color="auto"/>
                    <w:bottom w:val="none" w:sz="0" w:space="0" w:color="auto"/>
                    <w:right w:val="none" w:sz="0" w:space="0" w:color="auto"/>
                  </w:divBdr>
                  <w:divsChild>
                    <w:div w:id="146676308">
                      <w:marLeft w:val="0"/>
                      <w:marRight w:val="0"/>
                      <w:marTop w:val="0"/>
                      <w:marBottom w:val="0"/>
                      <w:divBdr>
                        <w:top w:val="none" w:sz="0" w:space="0" w:color="auto"/>
                        <w:left w:val="none" w:sz="0" w:space="0" w:color="auto"/>
                        <w:bottom w:val="none" w:sz="0" w:space="0" w:color="auto"/>
                        <w:right w:val="none" w:sz="0" w:space="0" w:color="auto"/>
                      </w:divBdr>
                      <w:divsChild>
                        <w:div w:id="20177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787">
              <w:marLeft w:val="0"/>
              <w:marRight w:val="0"/>
              <w:marTop w:val="0"/>
              <w:marBottom w:val="0"/>
              <w:divBdr>
                <w:top w:val="none" w:sz="0" w:space="0" w:color="auto"/>
                <w:left w:val="none" w:sz="0" w:space="0" w:color="auto"/>
                <w:bottom w:val="none" w:sz="0" w:space="0" w:color="auto"/>
                <w:right w:val="none" w:sz="0" w:space="0" w:color="auto"/>
              </w:divBdr>
              <w:divsChild>
                <w:div w:id="1047409794">
                  <w:marLeft w:val="0"/>
                  <w:marRight w:val="0"/>
                  <w:marTop w:val="0"/>
                  <w:marBottom w:val="0"/>
                  <w:divBdr>
                    <w:top w:val="none" w:sz="0" w:space="0" w:color="auto"/>
                    <w:left w:val="none" w:sz="0" w:space="0" w:color="auto"/>
                    <w:bottom w:val="none" w:sz="0" w:space="0" w:color="auto"/>
                    <w:right w:val="none" w:sz="0" w:space="0" w:color="auto"/>
                  </w:divBdr>
                  <w:divsChild>
                    <w:div w:id="6154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5367">
              <w:marLeft w:val="0"/>
              <w:marRight w:val="0"/>
              <w:marTop w:val="0"/>
              <w:marBottom w:val="0"/>
              <w:divBdr>
                <w:top w:val="none" w:sz="0" w:space="0" w:color="auto"/>
                <w:left w:val="none" w:sz="0" w:space="0" w:color="auto"/>
                <w:bottom w:val="none" w:sz="0" w:space="0" w:color="auto"/>
                <w:right w:val="none" w:sz="0" w:space="0" w:color="auto"/>
              </w:divBdr>
            </w:div>
          </w:divsChild>
        </w:div>
        <w:div w:id="870730464">
          <w:marLeft w:val="0"/>
          <w:marRight w:val="0"/>
          <w:marTop w:val="0"/>
          <w:marBottom w:val="0"/>
          <w:divBdr>
            <w:top w:val="none" w:sz="0" w:space="0" w:color="auto"/>
            <w:left w:val="none" w:sz="0" w:space="0" w:color="auto"/>
            <w:bottom w:val="none" w:sz="0" w:space="0" w:color="auto"/>
            <w:right w:val="none" w:sz="0" w:space="0" w:color="auto"/>
          </w:divBdr>
          <w:divsChild>
            <w:div w:id="834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353">
      <w:bodyDiv w:val="1"/>
      <w:marLeft w:val="0"/>
      <w:marRight w:val="0"/>
      <w:marTop w:val="0"/>
      <w:marBottom w:val="0"/>
      <w:divBdr>
        <w:top w:val="none" w:sz="0" w:space="0" w:color="auto"/>
        <w:left w:val="none" w:sz="0" w:space="0" w:color="auto"/>
        <w:bottom w:val="none" w:sz="0" w:space="0" w:color="auto"/>
        <w:right w:val="none" w:sz="0" w:space="0" w:color="auto"/>
      </w:divBdr>
      <w:divsChild>
        <w:div w:id="125708307">
          <w:marLeft w:val="0"/>
          <w:marRight w:val="0"/>
          <w:marTop w:val="0"/>
          <w:marBottom w:val="0"/>
          <w:divBdr>
            <w:top w:val="none" w:sz="0" w:space="0" w:color="auto"/>
            <w:left w:val="none" w:sz="0" w:space="0" w:color="auto"/>
            <w:bottom w:val="none" w:sz="0" w:space="0" w:color="auto"/>
            <w:right w:val="none" w:sz="0" w:space="0" w:color="auto"/>
          </w:divBdr>
          <w:divsChild>
            <w:div w:id="1107580890">
              <w:marLeft w:val="0"/>
              <w:marRight w:val="0"/>
              <w:marTop w:val="0"/>
              <w:marBottom w:val="0"/>
              <w:divBdr>
                <w:top w:val="none" w:sz="0" w:space="0" w:color="auto"/>
                <w:left w:val="none" w:sz="0" w:space="0" w:color="auto"/>
                <w:bottom w:val="none" w:sz="0" w:space="0" w:color="auto"/>
                <w:right w:val="none" w:sz="0" w:space="0" w:color="auto"/>
              </w:divBdr>
              <w:divsChild>
                <w:div w:id="2076658201">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sChild>
                        <w:div w:id="16837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611">
              <w:marLeft w:val="0"/>
              <w:marRight w:val="0"/>
              <w:marTop w:val="0"/>
              <w:marBottom w:val="0"/>
              <w:divBdr>
                <w:top w:val="none" w:sz="0" w:space="0" w:color="auto"/>
                <w:left w:val="none" w:sz="0" w:space="0" w:color="auto"/>
                <w:bottom w:val="none" w:sz="0" w:space="0" w:color="auto"/>
                <w:right w:val="none" w:sz="0" w:space="0" w:color="auto"/>
              </w:divBdr>
              <w:divsChild>
                <w:div w:id="250553254">
                  <w:marLeft w:val="0"/>
                  <w:marRight w:val="0"/>
                  <w:marTop w:val="0"/>
                  <w:marBottom w:val="0"/>
                  <w:divBdr>
                    <w:top w:val="none" w:sz="0" w:space="0" w:color="auto"/>
                    <w:left w:val="none" w:sz="0" w:space="0" w:color="auto"/>
                    <w:bottom w:val="none" w:sz="0" w:space="0" w:color="auto"/>
                    <w:right w:val="none" w:sz="0" w:space="0" w:color="auto"/>
                  </w:divBdr>
                  <w:divsChild>
                    <w:div w:id="18912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6971">
              <w:marLeft w:val="0"/>
              <w:marRight w:val="0"/>
              <w:marTop w:val="0"/>
              <w:marBottom w:val="0"/>
              <w:divBdr>
                <w:top w:val="none" w:sz="0" w:space="0" w:color="auto"/>
                <w:left w:val="none" w:sz="0" w:space="0" w:color="auto"/>
                <w:bottom w:val="none" w:sz="0" w:space="0" w:color="auto"/>
                <w:right w:val="none" w:sz="0" w:space="0" w:color="auto"/>
              </w:divBdr>
            </w:div>
          </w:divsChild>
        </w:div>
        <w:div w:id="2091390124">
          <w:marLeft w:val="0"/>
          <w:marRight w:val="0"/>
          <w:marTop w:val="0"/>
          <w:marBottom w:val="0"/>
          <w:divBdr>
            <w:top w:val="none" w:sz="0" w:space="0" w:color="auto"/>
            <w:left w:val="none" w:sz="0" w:space="0" w:color="auto"/>
            <w:bottom w:val="none" w:sz="0" w:space="0" w:color="auto"/>
            <w:right w:val="none" w:sz="0" w:space="0" w:color="auto"/>
          </w:divBdr>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90524">
      <w:bodyDiv w:val="1"/>
      <w:marLeft w:val="0"/>
      <w:marRight w:val="0"/>
      <w:marTop w:val="0"/>
      <w:marBottom w:val="0"/>
      <w:divBdr>
        <w:top w:val="none" w:sz="0" w:space="0" w:color="auto"/>
        <w:left w:val="none" w:sz="0" w:space="0" w:color="auto"/>
        <w:bottom w:val="none" w:sz="0" w:space="0" w:color="auto"/>
        <w:right w:val="none" w:sz="0" w:space="0" w:color="auto"/>
      </w:divBdr>
      <w:divsChild>
        <w:div w:id="1358195084">
          <w:marLeft w:val="0"/>
          <w:marRight w:val="0"/>
          <w:marTop w:val="0"/>
          <w:marBottom w:val="0"/>
          <w:divBdr>
            <w:top w:val="none" w:sz="0" w:space="0" w:color="auto"/>
            <w:left w:val="none" w:sz="0" w:space="0" w:color="auto"/>
            <w:bottom w:val="none" w:sz="0" w:space="0" w:color="auto"/>
            <w:right w:val="none" w:sz="0" w:space="0" w:color="auto"/>
          </w:divBdr>
          <w:divsChild>
            <w:div w:id="1611667711">
              <w:marLeft w:val="0"/>
              <w:marRight w:val="0"/>
              <w:marTop w:val="0"/>
              <w:marBottom w:val="0"/>
              <w:divBdr>
                <w:top w:val="none" w:sz="0" w:space="0" w:color="auto"/>
                <w:left w:val="none" w:sz="0" w:space="0" w:color="auto"/>
                <w:bottom w:val="none" w:sz="0" w:space="0" w:color="auto"/>
                <w:right w:val="none" w:sz="0" w:space="0" w:color="auto"/>
              </w:divBdr>
              <w:divsChild>
                <w:div w:id="1791165223">
                  <w:marLeft w:val="0"/>
                  <w:marRight w:val="0"/>
                  <w:marTop w:val="0"/>
                  <w:marBottom w:val="0"/>
                  <w:divBdr>
                    <w:top w:val="none" w:sz="0" w:space="0" w:color="auto"/>
                    <w:left w:val="none" w:sz="0" w:space="0" w:color="auto"/>
                    <w:bottom w:val="none" w:sz="0" w:space="0" w:color="auto"/>
                    <w:right w:val="none" w:sz="0" w:space="0" w:color="auto"/>
                  </w:divBdr>
                </w:div>
                <w:div w:id="615449973">
                  <w:marLeft w:val="0"/>
                  <w:marRight w:val="0"/>
                  <w:marTop w:val="0"/>
                  <w:marBottom w:val="0"/>
                  <w:divBdr>
                    <w:top w:val="none" w:sz="0" w:space="0" w:color="auto"/>
                    <w:left w:val="none" w:sz="0" w:space="0" w:color="auto"/>
                    <w:bottom w:val="none" w:sz="0" w:space="0" w:color="auto"/>
                    <w:right w:val="none" w:sz="0" w:space="0" w:color="auto"/>
                  </w:divBdr>
                  <w:divsChild>
                    <w:div w:id="2030137613">
                      <w:marLeft w:val="0"/>
                      <w:marRight w:val="0"/>
                      <w:marTop w:val="0"/>
                      <w:marBottom w:val="0"/>
                      <w:divBdr>
                        <w:top w:val="none" w:sz="0" w:space="0" w:color="auto"/>
                        <w:left w:val="none" w:sz="0" w:space="0" w:color="auto"/>
                        <w:bottom w:val="none" w:sz="0" w:space="0" w:color="auto"/>
                        <w:right w:val="none" w:sz="0" w:space="0" w:color="auto"/>
                      </w:divBdr>
                      <w:divsChild>
                        <w:div w:id="707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2780">
              <w:marLeft w:val="0"/>
              <w:marRight w:val="0"/>
              <w:marTop w:val="0"/>
              <w:marBottom w:val="0"/>
              <w:divBdr>
                <w:top w:val="none" w:sz="0" w:space="0" w:color="auto"/>
                <w:left w:val="none" w:sz="0" w:space="0" w:color="auto"/>
                <w:bottom w:val="none" w:sz="0" w:space="0" w:color="auto"/>
                <w:right w:val="none" w:sz="0" w:space="0" w:color="auto"/>
              </w:divBdr>
              <w:divsChild>
                <w:div w:id="3678507">
                  <w:marLeft w:val="0"/>
                  <w:marRight w:val="0"/>
                  <w:marTop w:val="0"/>
                  <w:marBottom w:val="0"/>
                  <w:divBdr>
                    <w:top w:val="none" w:sz="0" w:space="0" w:color="auto"/>
                    <w:left w:val="none" w:sz="0" w:space="0" w:color="auto"/>
                    <w:bottom w:val="none" w:sz="0" w:space="0" w:color="auto"/>
                    <w:right w:val="none" w:sz="0" w:space="0" w:color="auto"/>
                  </w:divBdr>
                  <w:divsChild>
                    <w:div w:id="234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329">
              <w:marLeft w:val="0"/>
              <w:marRight w:val="0"/>
              <w:marTop w:val="0"/>
              <w:marBottom w:val="0"/>
              <w:divBdr>
                <w:top w:val="none" w:sz="0" w:space="0" w:color="auto"/>
                <w:left w:val="none" w:sz="0" w:space="0" w:color="auto"/>
                <w:bottom w:val="none" w:sz="0" w:space="0" w:color="auto"/>
                <w:right w:val="none" w:sz="0" w:space="0" w:color="auto"/>
              </w:divBdr>
            </w:div>
          </w:divsChild>
        </w:div>
        <w:div w:id="939338872">
          <w:marLeft w:val="0"/>
          <w:marRight w:val="0"/>
          <w:marTop w:val="0"/>
          <w:marBottom w:val="0"/>
          <w:divBdr>
            <w:top w:val="none" w:sz="0" w:space="0" w:color="auto"/>
            <w:left w:val="none" w:sz="0" w:space="0" w:color="auto"/>
            <w:bottom w:val="none" w:sz="0" w:space="0" w:color="auto"/>
            <w:right w:val="none" w:sz="0" w:space="0" w:color="auto"/>
          </w:divBdr>
        </w:div>
        <w:div w:id="90710570">
          <w:marLeft w:val="0"/>
          <w:marRight w:val="0"/>
          <w:marTop w:val="0"/>
          <w:marBottom w:val="0"/>
          <w:divBdr>
            <w:top w:val="none" w:sz="0" w:space="0" w:color="auto"/>
            <w:left w:val="none" w:sz="0" w:space="0" w:color="auto"/>
            <w:bottom w:val="none" w:sz="0" w:space="0" w:color="auto"/>
            <w:right w:val="none" w:sz="0" w:space="0" w:color="auto"/>
          </w:divBdr>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68048">
      <w:bodyDiv w:val="1"/>
      <w:marLeft w:val="0"/>
      <w:marRight w:val="0"/>
      <w:marTop w:val="0"/>
      <w:marBottom w:val="0"/>
      <w:divBdr>
        <w:top w:val="none" w:sz="0" w:space="0" w:color="auto"/>
        <w:left w:val="none" w:sz="0" w:space="0" w:color="auto"/>
        <w:bottom w:val="none" w:sz="0" w:space="0" w:color="auto"/>
        <w:right w:val="none" w:sz="0" w:space="0" w:color="auto"/>
      </w:divBdr>
      <w:divsChild>
        <w:div w:id="1644307868">
          <w:marLeft w:val="0"/>
          <w:marRight w:val="0"/>
          <w:marTop w:val="0"/>
          <w:marBottom w:val="0"/>
          <w:divBdr>
            <w:top w:val="none" w:sz="0" w:space="0" w:color="auto"/>
            <w:left w:val="none" w:sz="0" w:space="0" w:color="auto"/>
            <w:bottom w:val="none" w:sz="0" w:space="0" w:color="auto"/>
            <w:right w:val="none" w:sz="0" w:space="0" w:color="auto"/>
          </w:divBdr>
          <w:divsChild>
            <w:div w:id="67583161">
              <w:marLeft w:val="0"/>
              <w:marRight w:val="0"/>
              <w:marTop w:val="0"/>
              <w:marBottom w:val="0"/>
              <w:divBdr>
                <w:top w:val="none" w:sz="0" w:space="0" w:color="auto"/>
                <w:left w:val="none" w:sz="0" w:space="0" w:color="auto"/>
                <w:bottom w:val="none" w:sz="0" w:space="0" w:color="auto"/>
                <w:right w:val="none" w:sz="0" w:space="0" w:color="auto"/>
              </w:divBdr>
              <w:divsChild>
                <w:div w:id="1503819454">
                  <w:marLeft w:val="0"/>
                  <w:marRight w:val="0"/>
                  <w:marTop w:val="0"/>
                  <w:marBottom w:val="0"/>
                  <w:divBdr>
                    <w:top w:val="none" w:sz="0" w:space="0" w:color="auto"/>
                    <w:left w:val="none" w:sz="0" w:space="0" w:color="auto"/>
                    <w:bottom w:val="none" w:sz="0" w:space="0" w:color="auto"/>
                    <w:right w:val="none" w:sz="0" w:space="0" w:color="auto"/>
                  </w:divBdr>
                  <w:divsChild>
                    <w:div w:id="184752369">
                      <w:marLeft w:val="0"/>
                      <w:marRight w:val="0"/>
                      <w:marTop w:val="0"/>
                      <w:marBottom w:val="0"/>
                      <w:divBdr>
                        <w:top w:val="none" w:sz="0" w:space="0" w:color="auto"/>
                        <w:left w:val="none" w:sz="0" w:space="0" w:color="auto"/>
                        <w:bottom w:val="none" w:sz="0" w:space="0" w:color="auto"/>
                        <w:right w:val="none" w:sz="0" w:space="0" w:color="auto"/>
                      </w:divBdr>
                      <w:divsChild>
                        <w:div w:id="10343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1547">
              <w:marLeft w:val="0"/>
              <w:marRight w:val="0"/>
              <w:marTop w:val="0"/>
              <w:marBottom w:val="0"/>
              <w:divBdr>
                <w:top w:val="none" w:sz="0" w:space="0" w:color="auto"/>
                <w:left w:val="none" w:sz="0" w:space="0" w:color="auto"/>
                <w:bottom w:val="none" w:sz="0" w:space="0" w:color="auto"/>
                <w:right w:val="none" w:sz="0" w:space="0" w:color="auto"/>
              </w:divBdr>
              <w:divsChild>
                <w:div w:id="1742749926">
                  <w:marLeft w:val="0"/>
                  <w:marRight w:val="0"/>
                  <w:marTop w:val="0"/>
                  <w:marBottom w:val="0"/>
                  <w:divBdr>
                    <w:top w:val="none" w:sz="0" w:space="0" w:color="auto"/>
                    <w:left w:val="none" w:sz="0" w:space="0" w:color="auto"/>
                    <w:bottom w:val="none" w:sz="0" w:space="0" w:color="auto"/>
                    <w:right w:val="none" w:sz="0" w:space="0" w:color="auto"/>
                  </w:divBdr>
                  <w:divsChild>
                    <w:div w:id="58846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804">
              <w:marLeft w:val="0"/>
              <w:marRight w:val="0"/>
              <w:marTop w:val="0"/>
              <w:marBottom w:val="0"/>
              <w:divBdr>
                <w:top w:val="none" w:sz="0" w:space="0" w:color="auto"/>
                <w:left w:val="none" w:sz="0" w:space="0" w:color="auto"/>
                <w:bottom w:val="none" w:sz="0" w:space="0" w:color="auto"/>
                <w:right w:val="none" w:sz="0" w:space="0" w:color="auto"/>
              </w:divBdr>
            </w:div>
          </w:divsChild>
        </w:div>
        <w:div w:id="1812215569">
          <w:marLeft w:val="0"/>
          <w:marRight w:val="0"/>
          <w:marTop w:val="0"/>
          <w:marBottom w:val="0"/>
          <w:divBdr>
            <w:top w:val="none" w:sz="0" w:space="0" w:color="auto"/>
            <w:left w:val="none" w:sz="0" w:space="0" w:color="auto"/>
            <w:bottom w:val="none" w:sz="0" w:space="0" w:color="auto"/>
            <w:right w:val="none" w:sz="0" w:space="0" w:color="auto"/>
          </w:divBdr>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4867">
      <w:bodyDiv w:val="1"/>
      <w:marLeft w:val="0"/>
      <w:marRight w:val="0"/>
      <w:marTop w:val="0"/>
      <w:marBottom w:val="0"/>
      <w:divBdr>
        <w:top w:val="none" w:sz="0" w:space="0" w:color="auto"/>
        <w:left w:val="none" w:sz="0" w:space="0" w:color="auto"/>
        <w:bottom w:val="none" w:sz="0" w:space="0" w:color="auto"/>
        <w:right w:val="none" w:sz="0" w:space="0" w:color="auto"/>
      </w:divBdr>
      <w:divsChild>
        <w:div w:id="1156147631">
          <w:marLeft w:val="0"/>
          <w:marRight w:val="0"/>
          <w:marTop w:val="0"/>
          <w:marBottom w:val="0"/>
          <w:divBdr>
            <w:top w:val="none" w:sz="0" w:space="0" w:color="auto"/>
            <w:left w:val="none" w:sz="0" w:space="0" w:color="auto"/>
            <w:bottom w:val="none" w:sz="0" w:space="0" w:color="auto"/>
            <w:right w:val="none" w:sz="0" w:space="0" w:color="auto"/>
          </w:divBdr>
          <w:divsChild>
            <w:div w:id="304089722">
              <w:marLeft w:val="0"/>
              <w:marRight w:val="0"/>
              <w:marTop w:val="0"/>
              <w:marBottom w:val="0"/>
              <w:divBdr>
                <w:top w:val="none" w:sz="0" w:space="0" w:color="auto"/>
                <w:left w:val="none" w:sz="0" w:space="0" w:color="auto"/>
                <w:bottom w:val="none" w:sz="0" w:space="0" w:color="auto"/>
                <w:right w:val="none" w:sz="0" w:space="0" w:color="auto"/>
              </w:divBdr>
              <w:divsChild>
                <w:div w:id="734813905">
                  <w:marLeft w:val="0"/>
                  <w:marRight w:val="0"/>
                  <w:marTop w:val="0"/>
                  <w:marBottom w:val="0"/>
                  <w:divBdr>
                    <w:top w:val="none" w:sz="0" w:space="0" w:color="auto"/>
                    <w:left w:val="none" w:sz="0" w:space="0" w:color="auto"/>
                    <w:bottom w:val="none" w:sz="0" w:space="0" w:color="auto"/>
                    <w:right w:val="none" w:sz="0" w:space="0" w:color="auto"/>
                  </w:divBdr>
                  <w:divsChild>
                    <w:div w:id="514656094">
                      <w:marLeft w:val="0"/>
                      <w:marRight w:val="0"/>
                      <w:marTop w:val="0"/>
                      <w:marBottom w:val="0"/>
                      <w:divBdr>
                        <w:top w:val="none" w:sz="0" w:space="0" w:color="auto"/>
                        <w:left w:val="none" w:sz="0" w:space="0" w:color="auto"/>
                        <w:bottom w:val="none" w:sz="0" w:space="0" w:color="auto"/>
                        <w:right w:val="none" w:sz="0" w:space="0" w:color="auto"/>
                      </w:divBdr>
                      <w:divsChild>
                        <w:div w:id="17040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2716">
              <w:marLeft w:val="0"/>
              <w:marRight w:val="0"/>
              <w:marTop w:val="0"/>
              <w:marBottom w:val="0"/>
              <w:divBdr>
                <w:top w:val="none" w:sz="0" w:space="0" w:color="auto"/>
                <w:left w:val="none" w:sz="0" w:space="0" w:color="auto"/>
                <w:bottom w:val="none" w:sz="0" w:space="0" w:color="auto"/>
                <w:right w:val="none" w:sz="0" w:space="0" w:color="auto"/>
              </w:divBdr>
              <w:divsChild>
                <w:div w:id="2002804439">
                  <w:marLeft w:val="0"/>
                  <w:marRight w:val="0"/>
                  <w:marTop w:val="0"/>
                  <w:marBottom w:val="0"/>
                  <w:divBdr>
                    <w:top w:val="none" w:sz="0" w:space="0" w:color="auto"/>
                    <w:left w:val="none" w:sz="0" w:space="0" w:color="auto"/>
                    <w:bottom w:val="none" w:sz="0" w:space="0" w:color="auto"/>
                    <w:right w:val="none" w:sz="0" w:space="0" w:color="auto"/>
                  </w:divBdr>
                  <w:divsChild>
                    <w:div w:id="17350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6602">
              <w:marLeft w:val="0"/>
              <w:marRight w:val="0"/>
              <w:marTop w:val="0"/>
              <w:marBottom w:val="0"/>
              <w:divBdr>
                <w:top w:val="none" w:sz="0" w:space="0" w:color="auto"/>
                <w:left w:val="none" w:sz="0" w:space="0" w:color="auto"/>
                <w:bottom w:val="none" w:sz="0" w:space="0" w:color="auto"/>
                <w:right w:val="none" w:sz="0" w:space="0" w:color="auto"/>
              </w:divBdr>
            </w:div>
          </w:divsChild>
        </w:div>
        <w:div w:id="882521223">
          <w:marLeft w:val="0"/>
          <w:marRight w:val="0"/>
          <w:marTop w:val="0"/>
          <w:marBottom w:val="0"/>
          <w:divBdr>
            <w:top w:val="none" w:sz="0" w:space="0" w:color="auto"/>
            <w:left w:val="none" w:sz="0" w:space="0" w:color="auto"/>
            <w:bottom w:val="none" w:sz="0" w:space="0" w:color="auto"/>
            <w:right w:val="none" w:sz="0" w:space="0" w:color="auto"/>
          </w:divBdr>
          <w:divsChild>
            <w:div w:id="21202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4610">
      <w:bodyDiv w:val="1"/>
      <w:marLeft w:val="0"/>
      <w:marRight w:val="0"/>
      <w:marTop w:val="0"/>
      <w:marBottom w:val="0"/>
      <w:divBdr>
        <w:top w:val="none" w:sz="0" w:space="0" w:color="auto"/>
        <w:left w:val="none" w:sz="0" w:space="0" w:color="auto"/>
        <w:bottom w:val="none" w:sz="0" w:space="0" w:color="auto"/>
        <w:right w:val="none" w:sz="0" w:space="0" w:color="auto"/>
      </w:divBdr>
      <w:divsChild>
        <w:div w:id="90126113">
          <w:marLeft w:val="0"/>
          <w:marRight w:val="0"/>
          <w:marTop w:val="0"/>
          <w:marBottom w:val="0"/>
          <w:divBdr>
            <w:top w:val="none" w:sz="0" w:space="0" w:color="auto"/>
            <w:left w:val="none" w:sz="0" w:space="0" w:color="auto"/>
            <w:bottom w:val="none" w:sz="0" w:space="0" w:color="auto"/>
            <w:right w:val="none" w:sz="0" w:space="0" w:color="auto"/>
          </w:divBdr>
          <w:divsChild>
            <w:div w:id="1293096565">
              <w:marLeft w:val="0"/>
              <w:marRight w:val="0"/>
              <w:marTop w:val="0"/>
              <w:marBottom w:val="0"/>
              <w:divBdr>
                <w:top w:val="none" w:sz="0" w:space="0" w:color="auto"/>
                <w:left w:val="none" w:sz="0" w:space="0" w:color="auto"/>
                <w:bottom w:val="none" w:sz="0" w:space="0" w:color="auto"/>
                <w:right w:val="none" w:sz="0" w:space="0" w:color="auto"/>
              </w:divBdr>
              <w:divsChild>
                <w:div w:id="2147047579">
                  <w:marLeft w:val="0"/>
                  <w:marRight w:val="0"/>
                  <w:marTop w:val="0"/>
                  <w:marBottom w:val="0"/>
                  <w:divBdr>
                    <w:top w:val="none" w:sz="0" w:space="0" w:color="auto"/>
                    <w:left w:val="none" w:sz="0" w:space="0" w:color="auto"/>
                    <w:bottom w:val="none" w:sz="0" w:space="0" w:color="auto"/>
                    <w:right w:val="none" w:sz="0" w:space="0" w:color="auto"/>
                  </w:divBdr>
                </w:div>
                <w:div w:id="23139308">
                  <w:marLeft w:val="0"/>
                  <w:marRight w:val="0"/>
                  <w:marTop w:val="0"/>
                  <w:marBottom w:val="0"/>
                  <w:divBdr>
                    <w:top w:val="none" w:sz="0" w:space="0" w:color="auto"/>
                    <w:left w:val="none" w:sz="0" w:space="0" w:color="auto"/>
                    <w:bottom w:val="none" w:sz="0" w:space="0" w:color="auto"/>
                    <w:right w:val="none" w:sz="0" w:space="0" w:color="auto"/>
                  </w:divBdr>
                  <w:divsChild>
                    <w:div w:id="1875726055">
                      <w:marLeft w:val="0"/>
                      <w:marRight w:val="0"/>
                      <w:marTop w:val="0"/>
                      <w:marBottom w:val="0"/>
                      <w:divBdr>
                        <w:top w:val="none" w:sz="0" w:space="0" w:color="auto"/>
                        <w:left w:val="none" w:sz="0" w:space="0" w:color="auto"/>
                        <w:bottom w:val="none" w:sz="0" w:space="0" w:color="auto"/>
                        <w:right w:val="none" w:sz="0" w:space="0" w:color="auto"/>
                      </w:divBdr>
                      <w:divsChild>
                        <w:div w:id="16674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0184">
              <w:marLeft w:val="0"/>
              <w:marRight w:val="0"/>
              <w:marTop w:val="0"/>
              <w:marBottom w:val="0"/>
              <w:divBdr>
                <w:top w:val="none" w:sz="0" w:space="0" w:color="auto"/>
                <w:left w:val="none" w:sz="0" w:space="0" w:color="auto"/>
                <w:bottom w:val="none" w:sz="0" w:space="0" w:color="auto"/>
                <w:right w:val="none" w:sz="0" w:space="0" w:color="auto"/>
              </w:divBdr>
              <w:divsChild>
                <w:div w:id="503515727">
                  <w:marLeft w:val="0"/>
                  <w:marRight w:val="0"/>
                  <w:marTop w:val="0"/>
                  <w:marBottom w:val="0"/>
                  <w:divBdr>
                    <w:top w:val="none" w:sz="0" w:space="0" w:color="auto"/>
                    <w:left w:val="none" w:sz="0" w:space="0" w:color="auto"/>
                    <w:bottom w:val="none" w:sz="0" w:space="0" w:color="auto"/>
                    <w:right w:val="none" w:sz="0" w:space="0" w:color="auto"/>
                  </w:divBdr>
                  <w:divsChild>
                    <w:div w:id="6003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4811">
              <w:marLeft w:val="0"/>
              <w:marRight w:val="0"/>
              <w:marTop w:val="0"/>
              <w:marBottom w:val="0"/>
              <w:divBdr>
                <w:top w:val="none" w:sz="0" w:space="0" w:color="auto"/>
                <w:left w:val="none" w:sz="0" w:space="0" w:color="auto"/>
                <w:bottom w:val="none" w:sz="0" w:space="0" w:color="auto"/>
                <w:right w:val="none" w:sz="0" w:space="0" w:color="auto"/>
              </w:divBdr>
            </w:div>
          </w:divsChild>
        </w:div>
        <w:div w:id="227152056">
          <w:marLeft w:val="0"/>
          <w:marRight w:val="0"/>
          <w:marTop w:val="0"/>
          <w:marBottom w:val="0"/>
          <w:divBdr>
            <w:top w:val="none" w:sz="0" w:space="0" w:color="auto"/>
            <w:left w:val="none" w:sz="0" w:space="0" w:color="auto"/>
            <w:bottom w:val="none" w:sz="0" w:space="0" w:color="auto"/>
            <w:right w:val="none" w:sz="0" w:space="0" w:color="auto"/>
          </w:divBdr>
        </w:div>
        <w:div w:id="1875582863">
          <w:marLeft w:val="0"/>
          <w:marRight w:val="0"/>
          <w:marTop w:val="0"/>
          <w:marBottom w:val="0"/>
          <w:divBdr>
            <w:top w:val="none" w:sz="0" w:space="0" w:color="auto"/>
            <w:left w:val="none" w:sz="0" w:space="0" w:color="auto"/>
            <w:bottom w:val="none" w:sz="0" w:space="0" w:color="auto"/>
            <w:right w:val="none" w:sz="0" w:space="0" w:color="auto"/>
          </w:divBdr>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49664">
      <w:bodyDiv w:val="1"/>
      <w:marLeft w:val="0"/>
      <w:marRight w:val="0"/>
      <w:marTop w:val="0"/>
      <w:marBottom w:val="0"/>
      <w:divBdr>
        <w:top w:val="none" w:sz="0" w:space="0" w:color="auto"/>
        <w:left w:val="none" w:sz="0" w:space="0" w:color="auto"/>
        <w:bottom w:val="none" w:sz="0" w:space="0" w:color="auto"/>
        <w:right w:val="none" w:sz="0" w:space="0" w:color="auto"/>
      </w:divBdr>
      <w:divsChild>
        <w:div w:id="1817641755">
          <w:marLeft w:val="0"/>
          <w:marRight w:val="0"/>
          <w:marTop w:val="0"/>
          <w:marBottom w:val="0"/>
          <w:divBdr>
            <w:top w:val="none" w:sz="0" w:space="0" w:color="auto"/>
            <w:left w:val="none" w:sz="0" w:space="0" w:color="auto"/>
            <w:bottom w:val="none" w:sz="0" w:space="0" w:color="auto"/>
            <w:right w:val="none" w:sz="0" w:space="0" w:color="auto"/>
          </w:divBdr>
          <w:divsChild>
            <w:div w:id="25910167">
              <w:marLeft w:val="0"/>
              <w:marRight w:val="0"/>
              <w:marTop w:val="0"/>
              <w:marBottom w:val="0"/>
              <w:divBdr>
                <w:top w:val="none" w:sz="0" w:space="0" w:color="auto"/>
                <w:left w:val="none" w:sz="0" w:space="0" w:color="auto"/>
                <w:bottom w:val="none" w:sz="0" w:space="0" w:color="auto"/>
                <w:right w:val="none" w:sz="0" w:space="0" w:color="auto"/>
              </w:divBdr>
              <w:divsChild>
                <w:div w:id="1202590670">
                  <w:marLeft w:val="0"/>
                  <w:marRight w:val="0"/>
                  <w:marTop w:val="0"/>
                  <w:marBottom w:val="0"/>
                  <w:divBdr>
                    <w:top w:val="none" w:sz="0" w:space="0" w:color="auto"/>
                    <w:left w:val="none" w:sz="0" w:space="0" w:color="auto"/>
                    <w:bottom w:val="none" w:sz="0" w:space="0" w:color="auto"/>
                    <w:right w:val="none" w:sz="0" w:space="0" w:color="auto"/>
                  </w:divBdr>
                </w:div>
                <w:div w:id="144205417">
                  <w:marLeft w:val="0"/>
                  <w:marRight w:val="0"/>
                  <w:marTop w:val="0"/>
                  <w:marBottom w:val="0"/>
                  <w:divBdr>
                    <w:top w:val="none" w:sz="0" w:space="0" w:color="auto"/>
                    <w:left w:val="none" w:sz="0" w:space="0" w:color="auto"/>
                    <w:bottom w:val="none" w:sz="0" w:space="0" w:color="auto"/>
                    <w:right w:val="none" w:sz="0" w:space="0" w:color="auto"/>
                  </w:divBdr>
                  <w:divsChild>
                    <w:div w:id="1974938857">
                      <w:marLeft w:val="0"/>
                      <w:marRight w:val="0"/>
                      <w:marTop w:val="0"/>
                      <w:marBottom w:val="0"/>
                      <w:divBdr>
                        <w:top w:val="none" w:sz="0" w:space="0" w:color="auto"/>
                        <w:left w:val="none" w:sz="0" w:space="0" w:color="auto"/>
                        <w:bottom w:val="none" w:sz="0" w:space="0" w:color="auto"/>
                        <w:right w:val="none" w:sz="0" w:space="0" w:color="auto"/>
                      </w:divBdr>
                      <w:divsChild>
                        <w:div w:id="2518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83">
              <w:marLeft w:val="0"/>
              <w:marRight w:val="0"/>
              <w:marTop w:val="0"/>
              <w:marBottom w:val="0"/>
              <w:divBdr>
                <w:top w:val="none" w:sz="0" w:space="0" w:color="auto"/>
                <w:left w:val="none" w:sz="0" w:space="0" w:color="auto"/>
                <w:bottom w:val="none" w:sz="0" w:space="0" w:color="auto"/>
                <w:right w:val="none" w:sz="0" w:space="0" w:color="auto"/>
              </w:divBdr>
              <w:divsChild>
                <w:div w:id="1430348186">
                  <w:marLeft w:val="0"/>
                  <w:marRight w:val="0"/>
                  <w:marTop w:val="0"/>
                  <w:marBottom w:val="0"/>
                  <w:divBdr>
                    <w:top w:val="none" w:sz="0" w:space="0" w:color="auto"/>
                    <w:left w:val="none" w:sz="0" w:space="0" w:color="auto"/>
                    <w:bottom w:val="none" w:sz="0" w:space="0" w:color="auto"/>
                    <w:right w:val="none" w:sz="0" w:space="0" w:color="auto"/>
                  </w:divBdr>
                  <w:divsChild>
                    <w:div w:id="16672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7858">
              <w:marLeft w:val="0"/>
              <w:marRight w:val="0"/>
              <w:marTop w:val="0"/>
              <w:marBottom w:val="0"/>
              <w:divBdr>
                <w:top w:val="none" w:sz="0" w:space="0" w:color="auto"/>
                <w:left w:val="none" w:sz="0" w:space="0" w:color="auto"/>
                <w:bottom w:val="none" w:sz="0" w:space="0" w:color="auto"/>
                <w:right w:val="none" w:sz="0" w:space="0" w:color="auto"/>
              </w:divBdr>
            </w:div>
          </w:divsChild>
        </w:div>
        <w:div w:id="98718154">
          <w:marLeft w:val="0"/>
          <w:marRight w:val="0"/>
          <w:marTop w:val="0"/>
          <w:marBottom w:val="0"/>
          <w:divBdr>
            <w:top w:val="none" w:sz="0" w:space="0" w:color="auto"/>
            <w:left w:val="none" w:sz="0" w:space="0" w:color="auto"/>
            <w:bottom w:val="none" w:sz="0" w:space="0" w:color="auto"/>
            <w:right w:val="none" w:sz="0" w:space="0" w:color="auto"/>
          </w:divBdr>
          <w:divsChild>
            <w:div w:id="7733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576">
      <w:bodyDiv w:val="1"/>
      <w:marLeft w:val="0"/>
      <w:marRight w:val="0"/>
      <w:marTop w:val="0"/>
      <w:marBottom w:val="0"/>
      <w:divBdr>
        <w:top w:val="none" w:sz="0" w:space="0" w:color="auto"/>
        <w:left w:val="none" w:sz="0" w:space="0" w:color="auto"/>
        <w:bottom w:val="none" w:sz="0" w:space="0" w:color="auto"/>
        <w:right w:val="none" w:sz="0" w:space="0" w:color="auto"/>
      </w:divBdr>
      <w:divsChild>
        <w:div w:id="901985037">
          <w:marLeft w:val="0"/>
          <w:marRight w:val="0"/>
          <w:marTop w:val="0"/>
          <w:marBottom w:val="0"/>
          <w:divBdr>
            <w:top w:val="none" w:sz="0" w:space="0" w:color="auto"/>
            <w:left w:val="none" w:sz="0" w:space="0" w:color="auto"/>
            <w:bottom w:val="none" w:sz="0" w:space="0" w:color="auto"/>
            <w:right w:val="none" w:sz="0" w:space="0" w:color="auto"/>
          </w:divBdr>
          <w:divsChild>
            <w:div w:id="530806255">
              <w:marLeft w:val="0"/>
              <w:marRight w:val="0"/>
              <w:marTop w:val="0"/>
              <w:marBottom w:val="0"/>
              <w:divBdr>
                <w:top w:val="none" w:sz="0" w:space="0" w:color="auto"/>
                <w:left w:val="none" w:sz="0" w:space="0" w:color="auto"/>
                <w:bottom w:val="none" w:sz="0" w:space="0" w:color="auto"/>
                <w:right w:val="none" w:sz="0" w:space="0" w:color="auto"/>
              </w:divBdr>
              <w:divsChild>
                <w:div w:id="1916472668">
                  <w:marLeft w:val="0"/>
                  <w:marRight w:val="0"/>
                  <w:marTop w:val="0"/>
                  <w:marBottom w:val="0"/>
                  <w:divBdr>
                    <w:top w:val="none" w:sz="0" w:space="0" w:color="auto"/>
                    <w:left w:val="none" w:sz="0" w:space="0" w:color="auto"/>
                    <w:bottom w:val="none" w:sz="0" w:space="0" w:color="auto"/>
                    <w:right w:val="none" w:sz="0" w:space="0" w:color="auto"/>
                  </w:divBdr>
                  <w:divsChild>
                    <w:div w:id="122771385">
                      <w:marLeft w:val="0"/>
                      <w:marRight w:val="0"/>
                      <w:marTop w:val="0"/>
                      <w:marBottom w:val="0"/>
                      <w:divBdr>
                        <w:top w:val="none" w:sz="0" w:space="0" w:color="auto"/>
                        <w:left w:val="none" w:sz="0" w:space="0" w:color="auto"/>
                        <w:bottom w:val="none" w:sz="0" w:space="0" w:color="auto"/>
                        <w:right w:val="none" w:sz="0" w:space="0" w:color="auto"/>
                      </w:divBdr>
                      <w:divsChild>
                        <w:div w:id="6787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9511">
              <w:marLeft w:val="0"/>
              <w:marRight w:val="0"/>
              <w:marTop w:val="0"/>
              <w:marBottom w:val="0"/>
              <w:divBdr>
                <w:top w:val="none" w:sz="0" w:space="0" w:color="auto"/>
                <w:left w:val="none" w:sz="0" w:space="0" w:color="auto"/>
                <w:bottom w:val="none" w:sz="0" w:space="0" w:color="auto"/>
                <w:right w:val="none" w:sz="0" w:space="0" w:color="auto"/>
              </w:divBdr>
              <w:divsChild>
                <w:div w:id="2141995670">
                  <w:marLeft w:val="0"/>
                  <w:marRight w:val="0"/>
                  <w:marTop w:val="0"/>
                  <w:marBottom w:val="0"/>
                  <w:divBdr>
                    <w:top w:val="none" w:sz="0" w:space="0" w:color="auto"/>
                    <w:left w:val="none" w:sz="0" w:space="0" w:color="auto"/>
                    <w:bottom w:val="none" w:sz="0" w:space="0" w:color="auto"/>
                    <w:right w:val="none" w:sz="0" w:space="0" w:color="auto"/>
                  </w:divBdr>
                  <w:divsChild>
                    <w:div w:id="19821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494">
              <w:marLeft w:val="0"/>
              <w:marRight w:val="0"/>
              <w:marTop w:val="0"/>
              <w:marBottom w:val="0"/>
              <w:divBdr>
                <w:top w:val="none" w:sz="0" w:space="0" w:color="auto"/>
                <w:left w:val="none" w:sz="0" w:space="0" w:color="auto"/>
                <w:bottom w:val="none" w:sz="0" w:space="0" w:color="auto"/>
                <w:right w:val="none" w:sz="0" w:space="0" w:color="auto"/>
              </w:divBdr>
            </w:div>
          </w:divsChild>
        </w:div>
        <w:div w:id="487131342">
          <w:marLeft w:val="0"/>
          <w:marRight w:val="0"/>
          <w:marTop w:val="0"/>
          <w:marBottom w:val="0"/>
          <w:divBdr>
            <w:top w:val="none" w:sz="0" w:space="0" w:color="auto"/>
            <w:left w:val="none" w:sz="0" w:space="0" w:color="auto"/>
            <w:bottom w:val="none" w:sz="0" w:space="0" w:color="auto"/>
            <w:right w:val="none" w:sz="0" w:space="0" w:color="auto"/>
          </w:divBdr>
          <w:divsChild>
            <w:div w:id="21291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4111">
      <w:bodyDiv w:val="1"/>
      <w:marLeft w:val="0"/>
      <w:marRight w:val="0"/>
      <w:marTop w:val="0"/>
      <w:marBottom w:val="0"/>
      <w:divBdr>
        <w:top w:val="none" w:sz="0" w:space="0" w:color="auto"/>
        <w:left w:val="none" w:sz="0" w:space="0" w:color="auto"/>
        <w:bottom w:val="none" w:sz="0" w:space="0" w:color="auto"/>
        <w:right w:val="none" w:sz="0" w:space="0" w:color="auto"/>
      </w:divBdr>
      <w:divsChild>
        <w:div w:id="492136972">
          <w:marLeft w:val="0"/>
          <w:marRight w:val="0"/>
          <w:marTop w:val="0"/>
          <w:marBottom w:val="0"/>
          <w:divBdr>
            <w:top w:val="none" w:sz="0" w:space="0" w:color="auto"/>
            <w:left w:val="none" w:sz="0" w:space="0" w:color="auto"/>
            <w:bottom w:val="none" w:sz="0" w:space="0" w:color="auto"/>
            <w:right w:val="none" w:sz="0" w:space="0" w:color="auto"/>
          </w:divBdr>
          <w:divsChild>
            <w:div w:id="717165999">
              <w:marLeft w:val="0"/>
              <w:marRight w:val="0"/>
              <w:marTop w:val="0"/>
              <w:marBottom w:val="0"/>
              <w:divBdr>
                <w:top w:val="none" w:sz="0" w:space="0" w:color="auto"/>
                <w:left w:val="none" w:sz="0" w:space="0" w:color="auto"/>
                <w:bottom w:val="none" w:sz="0" w:space="0" w:color="auto"/>
                <w:right w:val="none" w:sz="0" w:space="0" w:color="auto"/>
              </w:divBdr>
              <w:divsChild>
                <w:div w:id="1326131908">
                  <w:marLeft w:val="0"/>
                  <w:marRight w:val="0"/>
                  <w:marTop w:val="0"/>
                  <w:marBottom w:val="0"/>
                  <w:divBdr>
                    <w:top w:val="none" w:sz="0" w:space="0" w:color="auto"/>
                    <w:left w:val="none" w:sz="0" w:space="0" w:color="auto"/>
                    <w:bottom w:val="none" w:sz="0" w:space="0" w:color="auto"/>
                    <w:right w:val="none" w:sz="0" w:space="0" w:color="auto"/>
                  </w:divBdr>
                  <w:divsChild>
                    <w:div w:id="656417927">
                      <w:marLeft w:val="0"/>
                      <w:marRight w:val="0"/>
                      <w:marTop w:val="0"/>
                      <w:marBottom w:val="0"/>
                      <w:divBdr>
                        <w:top w:val="none" w:sz="0" w:space="0" w:color="auto"/>
                        <w:left w:val="none" w:sz="0" w:space="0" w:color="auto"/>
                        <w:bottom w:val="none" w:sz="0" w:space="0" w:color="auto"/>
                        <w:right w:val="none" w:sz="0" w:space="0" w:color="auto"/>
                      </w:divBdr>
                      <w:divsChild>
                        <w:div w:id="13026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3516">
              <w:marLeft w:val="0"/>
              <w:marRight w:val="0"/>
              <w:marTop w:val="0"/>
              <w:marBottom w:val="0"/>
              <w:divBdr>
                <w:top w:val="none" w:sz="0" w:space="0" w:color="auto"/>
                <w:left w:val="none" w:sz="0" w:space="0" w:color="auto"/>
                <w:bottom w:val="none" w:sz="0" w:space="0" w:color="auto"/>
                <w:right w:val="none" w:sz="0" w:space="0" w:color="auto"/>
              </w:divBdr>
              <w:divsChild>
                <w:div w:id="451483260">
                  <w:marLeft w:val="0"/>
                  <w:marRight w:val="0"/>
                  <w:marTop w:val="0"/>
                  <w:marBottom w:val="0"/>
                  <w:divBdr>
                    <w:top w:val="none" w:sz="0" w:space="0" w:color="auto"/>
                    <w:left w:val="none" w:sz="0" w:space="0" w:color="auto"/>
                    <w:bottom w:val="none" w:sz="0" w:space="0" w:color="auto"/>
                    <w:right w:val="none" w:sz="0" w:space="0" w:color="auto"/>
                  </w:divBdr>
                  <w:divsChild>
                    <w:div w:id="1981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8133">
              <w:marLeft w:val="0"/>
              <w:marRight w:val="0"/>
              <w:marTop w:val="0"/>
              <w:marBottom w:val="0"/>
              <w:divBdr>
                <w:top w:val="none" w:sz="0" w:space="0" w:color="auto"/>
                <w:left w:val="none" w:sz="0" w:space="0" w:color="auto"/>
                <w:bottom w:val="none" w:sz="0" w:space="0" w:color="auto"/>
                <w:right w:val="none" w:sz="0" w:space="0" w:color="auto"/>
              </w:divBdr>
            </w:div>
          </w:divsChild>
        </w:div>
        <w:div w:id="366100587">
          <w:marLeft w:val="0"/>
          <w:marRight w:val="0"/>
          <w:marTop w:val="0"/>
          <w:marBottom w:val="0"/>
          <w:divBdr>
            <w:top w:val="none" w:sz="0" w:space="0" w:color="auto"/>
            <w:left w:val="none" w:sz="0" w:space="0" w:color="auto"/>
            <w:bottom w:val="none" w:sz="0" w:space="0" w:color="auto"/>
            <w:right w:val="none" w:sz="0" w:space="0" w:color="auto"/>
          </w:divBdr>
          <w:divsChild>
            <w:div w:id="18455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68159379">
      <w:bodyDiv w:val="1"/>
      <w:marLeft w:val="0"/>
      <w:marRight w:val="0"/>
      <w:marTop w:val="0"/>
      <w:marBottom w:val="0"/>
      <w:divBdr>
        <w:top w:val="none" w:sz="0" w:space="0" w:color="auto"/>
        <w:left w:val="none" w:sz="0" w:space="0" w:color="auto"/>
        <w:bottom w:val="none" w:sz="0" w:space="0" w:color="auto"/>
        <w:right w:val="none" w:sz="0" w:space="0" w:color="auto"/>
      </w:divBdr>
    </w:div>
    <w:div w:id="1475676939">
      <w:bodyDiv w:val="1"/>
      <w:marLeft w:val="0"/>
      <w:marRight w:val="0"/>
      <w:marTop w:val="0"/>
      <w:marBottom w:val="0"/>
      <w:divBdr>
        <w:top w:val="none" w:sz="0" w:space="0" w:color="auto"/>
        <w:left w:val="none" w:sz="0" w:space="0" w:color="auto"/>
        <w:bottom w:val="none" w:sz="0" w:space="0" w:color="auto"/>
        <w:right w:val="none" w:sz="0" w:space="0" w:color="auto"/>
      </w:divBdr>
      <w:divsChild>
        <w:div w:id="1088380550">
          <w:marLeft w:val="0"/>
          <w:marRight w:val="0"/>
          <w:marTop w:val="0"/>
          <w:marBottom w:val="0"/>
          <w:divBdr>
            <w:top w:val="none" w:sz="0" w:space="0" w:color="auto"/>
            <w:left w:val="none" w:sz="0" w:space="0" w:color="auto"/>
            <w:bottom w:val="none" w:sz="0" w:space="0" w:color="auto"/>
            <w:right w:val="none" w:sz="0" w:space="0" w:color="auto"/>
          </w:divBdr>
          <w:divsChild>
            <w:div w:id="508258755">
              <w:marLeft w:val="0"/>
              <w:marRight w:val="0"/>
              <w:marTop w:val="0"/>
              <w:marBottom w:val="0"/>
              <w:divBdr>
                <w:top w:val="none" w:sz="0" w:space="0" w:color="auto"/>
                <w:left w:val="none" w:sz="0" w:space="0" w:color="auto"/>
                <w:bottom w:val="none" w:sz="0" w:space="0" w:color="auto"/>
                <w:right w:val="none" w:sz="0" w:space="0" w:color="auto"/>
              </w:divBdr>
              <w:divsChild>
                <w:div w:id="877009402">
                  <w:marLeft w:val="0"/>
                  <w:marRight w:val="0"/>
                  <w:marTop w:val="0"/>
                  <w:marBottom w:val="0"/>
                  <w:divBdr>
                    <w:top w:val="none" w:sz="0" w:space="0" w:color="auto"/>
                    <w:left w:val="none" w:sz="0" w:space="0" w:color="auto"/>
                    <w:bottom w:val="none" w:sz="0" w:space="0" w:color="auto"/>
                    <w:right w:val="none" w:sz="0" w:space="0" w:color="auto"/>
                  </w:divBdr>
                  <w:divsChild>
                    <w:div w:id="1907298083">
                      <w:marLeft w:val="0"/>
                      <w:marRight w:val="0"/>
                      <w:marTop w:val="0"/>
                      <w:marBottom w:val="0"/>
                      <w:divBdr>
                        <w:top w:val="none" w:sz="0" w:space="0" w:color="auto"/>
                        <w:left w:val="none" w:sz="0" w:space="0" w:color="auto"/>
                        <w:bottom w:val="none" w:sz="0" w:space="0" w:color="auto"/>
                        <w:right w:val="none" w:sz="0" w:space="0" w:color="auto"/>
                      </w:divBdr>
                      <w:divsChild>
                        <w:div w:id="19801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4526">
              <w:marLeft w:val="0"/>
              <w:marRight w:val="0"/>
              <w:marTop w:val="0"/>
              <w:marBottom w:val="0"/>
              <w:divBdr>
                <w:top w:val="none" w:sz="0" w:space="0" w:color="auto"/>
                <w:left w:val="none" w:sz="0" w:space="0" w:color="auto"/>
                <w:bottom w:val="none" w:sz="0" w:space="0" w:color="auto"/>
                <w:right w:val="none" w:sz="0" w:space="0" w:color="auto"/>
              </w:divBdr>
              <w:divsChild>
                <w:div w:id="1141266501">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8960">
              <w:marLeft w:val="0"/>
              <w:marRight w:val="0"/>
              <w:marTop w:val="0"/>
              <w:marBottom w:val="0"/>
              <w:divBdr>
                <w:top w:val="none" w:sz="0" w:space="0" w:color="auto"/>
                <w:left w:val="none" w:sz="0" w:space="0" w:color="auto"/>
                <w:bottom w:val="none" w:sz="0" w:space="0" w:color="auto"/>
                <w:right w:val="none" w:sz="0" w:space="0" w:color="auto"/>
              </w:divBdr>
            </w:div>
          </w:divsChild>
        </w:div>
        <w:div w:id="844131164">
          <w:marLeft w:val="0"/>
          <w:marRight w:val="0"/>
          <w:marTop w:val="0"/>
          <w:marBottom w:val="0"/>
          <w:divBdr>
            <w:top w:val="none" w:sz="0" w:space="0" w:color="auto"/>
            <w:left w:val="none" w:sz="0" w:space="0" w:color="auto"/>
            <w:bottom w:val="none" w:sz="0" w:space="0" w:color="auto"/>
            <w:right w:val="none" w:sz="0" w:space="0" w:color="auto"/>
          </w:divBdr>
          <w:divsChild>
            <w:div w:id="16297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3492">
      <w:bodyDiv w:val="1"/>
      <w:marLeft w:val="0"/>
      <w:marRight w:val="0"/>
      <w:marTop w:val="0"/>
      <w:marBottom w:val="0"/>
      <w:divBdr>
        <w:top w:val="none" w:sz="0" w:space="0" w:color="auto"/>
        <w:left w:val="none" w:sz="0" w:space="0" w:color="auto"/>
        <w:bottom w:val="none" w:sz="0" w:space="0" w:color="auto"/>
        <w:right w:val="none" w:sz="0" w:space="0" w:color="auto"/>
      </w:divBdr>
      <w:divsChild>
        <w:div w:id="201021279">
          <w:marLeft w:val="0"/>
          <w:marRight w:val="0"/>
          <w:marTop w:val="0"/>
          <w:marBottom w:val="0"/>
          <w:divBdr>
            <w:top w:val="none" w:sz="0" w:space="0" w:color="auto"/>
            <w:left w:val="none" w:sz="0" w:space="0" w:color="auto"/>
            <w:bottom w:val="none" w:sz="0" w:space="0" w:color="auto"/>
            <w:right w:val="none" w:sz="0" w:space="0" w:color="auto"/>
          </w:divBdr>
          <w:divsChild>
            <w:div w:id="2073304555">
              <w:marLeft w:val="0"/>
              <w:marRight w:val="0"/>
              <w:marTop w:val="0"/>
              <w:marBottom w:val="0"/>
              <w:divBdr>
                <w:top w:val="none" w:sz="0" w:space="0" w:color="auto"/>
                <w:left w:val="none" w:sz="0" w:space="0" w:color="auto"/>
                <w:bottom w:val="none" w:sz="0" w:space="0" w:color="auto"/>
                <w:right w:val="none" w:sz="0" w:space="0" w:color="auto"/>
              </w:divBdr>
              <w:divsChild>
                <w:div w:id="2074503625">
                  <w:marLeft w:val="0"/>
                  <w:marRight w:val="0"/>
                  <w:marTop w:val="0"/>
                  <w:marBottom w:val="0"/>
                  <w:divBdr>
                    <w:top w:val="none" w:sz="0" w:space="0" w:color="auto"/>
                    <w:left w:val="none" w:sz="0" w:space="0" w:color="auto"/>
                    <w:bottom w:val="none" w:sz="0" w:space="0" w:color="auto"/>
                    <w:right w:val="none" w:sz="0" w:space="0" w:color="auto"/>
                  </w:divBdr>
                  <w:divsChild>
                    <w:div w:id="34476717">
                      <w:marLeft w:val="0"/>
                      <w:marRight w:val="0"/>
                      <w:marTop w:val="0"/>
                      <w:marBottom w:val="0"/>
                      <w:divBdr>
                        <w:top w:val="none" w:sz="0" w:space="0" w:color="auto"/>
                        <w:left w:val="none" w:sz="0" w:space="0" w:color="auto"/>
                        <w:bottom w:val="none" w:sz="0" w:space="0" w:color="auto"/>
                        <w:right w:val="none" w:sz="0" w:space="0" w:color="auto"/>
                      </w:divBdr>
                      <w:divsChild>
                        <w:div w:id="1698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5250">
              <w:marLeft w:val="0"/>
              <w:marRight w:val="0"/>
              <w:marTop w:val="0"/>
              <w:marBottom w:val="0"/>
              <w:divBdr>
                <w:top w:val="none" w:sz="0" w:space="0" w:color="auto"/>
                <w:left w:val="none" w:sz="0" w:space="0" w:color="auto"/>
                <w:bottom w:val="none" w:sz="0" w:space="0" w:color="auto"/>
                <w:right w:val="none" w:sz="0" w:space="0" w:color="auto"/>
              </w:divBdr>
              <w:divsChild>
                <w:div w:id="1758285085">
                  <w:marLeft w:val="0"/>
                  <w:marRight w:val="0"/>
                  <w:marTop w:val="0"/>
                  <w:marBottom w:val="0"/>
                  <w:divBdr>
                    <w:top w:val="none" w:sz="0" w:space="0" w:color="auto"/>
                    <w:left w:val="none" w:sz="0" w:space="0" w:color="auto"/>
                    <w:bottom w:val="none" w:sz="0" w:space="0" w:color="auto"/>
                    <w:right w:val="none" w:sz="0" w:space="0" w:color="auto"/>
                  </w:divBdr>
                  <w:divsChild>
                    <w:div w:id="15883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99354">
              <w:marLeft w:val="0"/>
              <w:marRight w:val="0"/>
              <w:marTop w:val="0"/>
              <w:marBottom w:val="0"/>
              <w:divBdr>
                <w:top w:val="none" w:sz="0" w:space="0" w:color="auto"/>
                <w:left w:val="none" w:sz="0" w:space="0" w:color="auto"/>
                <w:bottom w:val="none" w:sz="0" w:space="0" w:color="auto"/>
                <w:right w:val="none" w:sz="0" w:space="0" w:color="auto"/>
              </w:divBdr>
            </w:div>
          </w:divsChild>
        </w:div>
        <w:div w:id="389772559">
          <w:marLeft w:val="0"/>
          <w:marRight w:val="0"/>
          <w:marTop w:val="0"/>
          <w:marBottom w:val="0"/>
          <w:divBdr>
            <w:top w:val="none" w:sz="0" w:space="0" w:color="auto"/>
            <w:left w:val="none" w:sz="0" w:space="0" w:color="auto"/>
            <w:bottom w:val="none" w:sz="0" w:space="0" w:color="auto"/>
            <w:right w:val="none" w:sz="0" w:space="0" w:color="auto"/>
          </w:divBdr>
          <w:divsChild>
            <w:div w:id="18050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0670">
      <w:bodyDiv w:val="1"/>
      <w:marLeft w:val="0"/>
      <w:marRight w:val="0"/>
      <w:marTop w:val="0"/>
      <w:marBottom w:val="0"/>
      <w:divBdr>
        <w:top w:val="none" w:sz="0" w:space="0" w:color="auto"/>
        <w:left w:val="none" w:sz="0" w:space="0" w:color="auto"/>
        <w:bottom w:val="none" w:sz="0" w:space="0" w:color="auto"/>
        <w:right w:val="none" w:sz="0" w:space="0" w:color="auto"/>
      </w:divBdr>
      <w:divsChild>
        <w:div w:id="1981381231">
          <w:marLeft w:val="0"/>
          <w:marRight w:val="0"/>
          <w:marTop w:val="0"/>
          <w:marBottom w:val="0"/>
          <w:divBdr>
            <w:top w:val="none" w:sz="0" w:space="0" w:color="auto"/>
            <w:left w:val="none" w:sz="0" w:space="0" w:color="auto"/>
            <w:bottom w:val="none" w:sz="0" w:space="0" w:color="auto"/>
            <w:right w:val="none" w:sz="0" w:space="0" w:color="auto"/>
          </w:divBdr>
          <w:divsChild>
            <w:div w:id="1091269942">
              <w:marLeft w:val="0"/>
              <w:marRight w:val="0"/>
              <w:marTop w:val="0"/>
              <w:marBottom w:val="0"/>
              <w:divBdr>
                <w:top w:val="none" w:sz="0" w:space="0" w:color="auto"/>
                <w:left w:val="none" w:sz="0" w:space="0" w:color="auto"/>
                <w:bottom w:val="none" w:sz="0" w:space="0" w:color="auto"/>
                <w:right w:val="none" w:sz="0" w:space="0" w:color="auto"/>
              </w:divBdr>
              <w:divsChild>
                <w:div w:id="2034531628">
                  <w:marLeft w:val="0"/>
                  <w:marRight w:val="0"/>
                  <w:marTop w:val="0"/>
                  <w:marBottom w:val="0"/>
                  <w:divBdr>
                    <w:top w:val="none" w:sz="0" w:space="0" w:color="auto"/>
                    <w:left w:val="none" w:sz="0" w:space="0" w:color="auto"/>
                    <w:bottom w:val="none" w:sz="0" w:space="0" w:color="auto"/>
                    <w:right w:val="none" w:sz="0" w:space="0" w:color="auto"/>
                  </w:divBdr>
                  <w:divsChild>
                    <w:div w:id="2097357446">
                      <w:marLeft w:val="0"/>
                      <w:marRight w:val="0"/>
                      <w:marTop w:val="0"/>
                      <w:marBottom w:val="0"/>
                      <w:divBdr>
                        <w:top w:val="none" w:sz="0" w:space="0" w:color="auto"/>
                        <w:left w:val="none" w:sz="0" w:space="0" w:color="auto"/>
                        <w:bottom w:val="none" w:sz="0" w:space="0" w:color="auto"/>
                        <w:right w:val="none" w:sz="0" w:space="0" w:color="auto"/>
                      </w:divBdr>
                      <w:divsChild>
                        <w:div w:id="8274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6153">
              <w:marLeft w:val="0"/>
              <w:marRight w:val="0"/>
              <w:marTop w:val="0"/>
              <w:marBottom w:val="0"/>
              <w:divBdr>
                <w:top w:val="none" w:sz="0" w:space="0" w:color="auto"/>
                <w:left w:val="none" w:sz="0" w:space="0" w:color="auto"/>
                <w:bottom w:val="none" w:sz="0" w:space="0" w:color="auto"/>
                <w:right w:val="none" w:sz="0" w:space="0" w:color="auto"/>
              </w:divBdr>
              <w:divsChild>
                <w:div w:id="45375854">
                  <w:marLeft w:val="0"/>
                  <w:marRight w:val="0"/>
                  <w:marTop w:val="0"/>
                  <w:marBottom w:val="0"/>
                  <w:divBdr>
                    <w:top w:val="none" w:sz="0" w:space="0" w:color="auto"/>
                    <w:left w:val="none" w:sz="0" w:space="0" w:color="auto"/>
                    <w:bottom w:val="none" w:sz="0" w:space="0" w:color="auto"/>
                    <w:right w:val="none" w:sz="0" w:space="0" w:color="auto"/>
                  </w:divBdr>
                  <w:divsChild>
                    <w:div w:id="8612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303">
              <w:marLeft w:val="0"/>
              <w:marRight w:val="0"/>
              <w:marTop w:val="0"/>
              <w:marBottom w:val="0"/>
              <w:divBdr>
                <w:top w:val="none" w:sz="0" w:space="0" w:color="auto"/>
                <w:left w:val="none" w:sz="0" w:space="0" w:color="auto"/>
                <w:bottom w:val="none" w:sz="0" w:space="0" w:color="auto"/>
                <w:right w:val="none" w:sz="0" w:space="0" w:color="auto"/>
              </w:divBdr>
            </w:div>
          </w:divsChild>
        </w:div>
        <w:div w:id="357392149">
          <w:marLeft w:val="0"/>
          <w:marRight w:val="0"/>
          <w:marTop w:val="0"/>
          <w:marBottom w:val="0"/>
          <w:divBdr>
            <w:top w:val="none" w:sz="0" w:space="0" w:color="auto"/>
            <w:left w:val="none" w:sz="0" w:space="0" w:color="auto"/>
            <w:bottom w:val="none" w:sz="0" w:space="0" w:color="auto"/>
            <w:right w:val="none" w:sz="0" w:space="0" w:color="auto"/>
          </w:divBdr>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255">
      <w:bodyDiv w:val="1"/>
      <w:marLeft w:val="0"/>
      <w:marRight w:val="0"/>
      <w:marTop w:val="0"/>
      <w:marBottom w:val="0"/>
      <w:divBdr>
        <w:top w:val="none" w:sz="0" w:space="0" w:color="auto"/>
        <w:left w:val="none" w:sz="0" w:space="0" w:color="auto"/>
        <w:bottom w:val="none" w:sz="0" w:space="0" w:color="auto"/>
        <w:right w:val="none" w:sz="0" w:space="0" w:color="auto"/>
      </w:divBdr>
      <w:divsChild>
        <w:div w:id="530148433">
          <w:marLeft w:val="0"/>
          <w:marRight w:val="0"/>
          <w:marTop w:val="0"/>
          <w:marBottom w:val="0"/>
          <w:divBdr>
            <w:top w:val="none" w:sz="0" w:space="0" w:color="auto"/>
            <w:left w:val="none" w:sz="0" w:space="0" w:color="auto"/>
            <w:bottom w:val="none" w:sz="0" w:space="0" w:color="auto"/>
            <w:right w:val="none" w:sz="0" w:space="0" w:color="auto"/>
          </w:divBdr>
          <w:divsChild>
            <w:div w:id="1269195658">
              <w:marLeft w:val="0"/>
              <w:marRight w:val="0"/>
              <w:marTop w:val="0"/>
              <w:marBottom w:val="0"/>
              <w:divBdr>
                <w:top w:val="none" w:sz="0" w:space="0" w:color="auto"/>
                <w:left w:val="none" w:sz="0" w:space="0" w:color="auto"/>
                <w:bottom w:val="none" w:sz="0" w:space="0" w:color="auto"/>
                <w:right w:val="none" w:sz="0" w:space="0" w:color="auto"/>
              </w:divBdr>
              <w:divsChild>
                <w:div w:id="483357316">
                  <w:marLeft w:val="0"/>
                  <w:marRight w:val="0"/>
                  <w:marTop w:val="0"/>
                  <w:marBottom w:val="0"/>
                  <w:divBdr>
                    <w:top w:val="none" w:sz="0" w:space="0" w:color="auto"/>
                    <w:left w:val="none" w:sz="0" w:space="0" w:color="auto"/>
                    <w:bottom w:val="none" w:sz="0" w:space="0" w:color="auto"/>
                    <w:right w:val="none" w:sz="0" w:space="0" w:color="auto"/>
                  </w:divBdr>
                  <w:divsChild>
                    <w:div w:id="1473406353">
                      <w:marLeft w:val="0"/>
                      <w:marRight w:val="0"/>
                      <w:marTop w:val="0"/>
                      <w:marBottom w:val="0"/>
                      <w:divBdr>
                        <w:top w:val="none" w:sz="0" w:space="0" w:color="auto"/>
                        <w:left w:val="none" w:sz="0" w:space="0" w:color="auto"/>
                        <w:bottom w:val="none" w:sz="0" w:space="0" w:color="auto"/>
                        <w:right w:val="none" w:sz="0" w:space="0" w:color="auto"/>
                      </w:divBdr>
                      <w:divsChild>
                        <w:div w:id="79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6704">
              <w:marLeft w:val="0"/>
              <w:marRight w:val="0"/>
              <w:marTop w:val="0"/>
              <w:marBottom w:val="0"/>
              <w:divBdr>
                <w:top w:val="none" w:sz="0" w:space="0" w:color="auto"/>
                <w:left w:val="none" w:sz="0" w:space="0" w:color="auto"/>
                <w:bottom w:val="none" w:sz="0" w:space="0" w:color="auto"/>
                <w:right w:val="none" w:sz="0" w:space="0" w:color="auto"/>
              </w:divBdr>
              <w:divsChild>
                <w:div w:id="324209890">
                  <w:marLeft w:val="0"/>
                  <w:marRight w:val="0"/>
                  <w:marTop w:val="0"/>
                  <w:marBottom w:val="0"/>
                  <w:divBdr>
                    <w:top w:val="none" w:sz="0" w:space="0" w:color="auto"/>
                    <w:left w:val="none" w:sz="0" w:space="0" w:color="auto"/>
                    <w:bottom w:val="none" w:sz="0" w:space="0" w:color="auto"/>
                    <w:right w:val="none" w:sz="0" w:space="0" w:color="auto"/>
                  </w:divBdr>
                  <w:divsChild>
                    <w:div w:id="1434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74695">
              <w:marLeft w:val="0"/>
              <w:marRight w:val="0"/>
              <w:marTop w:val="0"/>
              <w:marBottom w:val="0"/>
              <w:divBdr>
                <w:top w:val="none" w:sz="0" w:space="0" w:color="auto"/>
                <w:left w:val="none" w:sz="0" w:space="0" w:color="auto"/>
                <w:bottom w:val="none" w:sz="0" w:space="0" w:color="auto"/>
                <w:right w:val="none" w:sz="0" w:space="0" w:color="auto"/>
              </w:divBdr>
            </w:div>
          </w:divsChild>
        </w:div>
        <w:div w:id="1408303193">
          <w:marLeft w:val="0"/>
          <w:marRight w:val="0"/>
          <w:marTop w:val="0"/>
          <w:marBottom w:val="0"/>
          <w:divBdr>
            <w:top w:val="none" w:sz="0" w:space="0" w:color="auto"/>
            <w:left w:val="none" w:sz="0" w:space="0" w:color="auto"/>
            <w:bottom w:val="none" w:sz="0" w:space="0" w:color="auto"/>
            <w:right w:val="none" w:sz="0" w:space="0" w:color="auto"/>
          </w:divBdr>
          <w:divsChild>
            <w:div w:id="1385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03552174">
      <w:bodyDiv w:val="1"/>
      <w:marLeft w:val="0"/>
      <w:marRight w:val="0"/>
      <w:marTop w:val="0"/>
      <w:marBottom w:val="0"/>
      <w:divBdr>
        <w:top w:val="none" w:sz="0" w:space="0" w:color="auto"/>
        <w:left w:val="none" w:sz="0" w:space="0" w:color="auto"/>
        <w:bottom w:val="none" w:sz="0" w:space="0" w:color="auto"/>
        <w:right w:val="none" w:sz="0" w:space="0" w:color="auto"/>
      </w:divBdr>
      <w:divsChild>
        <w:div w:id="89202000">
          <w:marLeft w:val="0"/>
          <w:marRight w:val="0"/>
          <w:marTop w:val="0"/>
          <w:marBottom w:val="0"/>
          <w:divBdr>
            <w:top w:val="none" w:sz="0" w:space="0" w:color="auto"/>
            <w:left w:val="none" w:sz="0" w:space="0" w:color="auto"/>
            <w:bottom w:val="none" w:sz="0" w:space="0" w:color="auto"/>
            <w:right w:val="none" w:sz="0" w:space="0" w:color="auto"/>
          </w:divBdr>
          <w:divsChild>
            <w:div w:id="471365162">
              <w:marLeft w:val="0"/>
              <w:marRight w:val="0"/>
              <w:marTop w:val="0"/>
              <w:marBottom w:val="0"/>
              <w:divBdr>
                <w:top w:val="none" w:sz="0" w:space="0" w:color="auto"/>
                <w:left w:val="none" w:sz="0" w:space="0" w:color="auto"/>
                <w:bottom w:val="none" w:sz="0" w:space="0" w:color="auto"/>
                <w:right w:val="none" w:sz="0" w:space="0" w:color="auto"/>
              </w:divBdr>
              <w:divsChild>
                <w:div w:id="323704001">
                  <w:marLeft w:val="0"/>
                  <w:marRight w:val="0"/>
                  <w:marTop w:val="0"/>
                  <w:marBottom w:val="0"/>
                  <w:divBdr>
                    <w:top w:val="none" w:sz="0" w:space="0" w:color="auto"/>
                    <w:left w:val="none" w:sz="0" w:space="0" w:color="auto"/>
                    <w:bottom w:val="none" w:sz="0" w:space="0" w:color="auto"/>
                    <w:right w:val="none" w:sz="0" w:space="0" w:color="auto"/>
                  </w:divBdr>
                  <w:divsChild>
                    <w:div w:id="1327905146">
                      <w:marLeft w:val="0"/>
                      <w:marRight w:val="0"/>
                      <w:marTop w:val="0"/>
                      <w:marBottom w:val="0"/>
                      <w:divBdr>
                        <w:top w:val="none" w:sz="0" w:space="0" w:color="auto"/>
                        <w:left w:val="none" w:sz="0" w:space="0" w:color="auto"/>
                        <w:bottom w:val="none" w:sz="0" w:space="0" w:color="auto"/>
                        <w:right w:val="none" w:sz="0" w:space="0" w:color="auto"/>
                      </w:divBdr>
                      <w:divsChild>
                        <w:div w:id="12178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20633">
              <w:marLeft w:val="0"/>
              <w:marRight w:val="0"/>
              <w:marTop w:val="0"/>
              <w:marBottom w:val="0"/>
              <w:divBdr>
                <w:top w:val="none" w:sz="0" w:space="0" w:color="auto"/>
                <w:left w:val="none" w:sz="0" w:space="0" w:color="auto"/>
                <w:bottom w:val="none" w:sz="0" w:space="0" w:color="auto"/>
                <w:right w:val="none" w:sz="0" w:space="0" w:color="auto"/>
              </w:divBdr>
              <w:divsChild>
                <w:div w:id="1704555400">
                  <w:marLeft w:val="0"/>
                  <w:marRight w:val="0"/>
                  <w:marTop w:val="0"/>
                  <w:marBottom w:val="0"/>
                  <w:divBdr>
                    <w:top w:val="none" w:sz="0" w:space="0" w:color="auto"/>
                    <w:left w:val="none" w:sz="0" w:space="0" w:color="auto"/>
                    <w:bottom w:val="none" w:sz="0" w:space="0" w:color="auto"/>
                    <w:right w:val="none" w:sz="0" w:space="0" w:color="auto"/>
                  </w:divBdr>
                  <w:divsChild>
                    <w:div w:id="17197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4091">
              <w:marLeft w:val="0"/>
              <w:marRight w:val="0"/>
              <w:marTop w:val="0"/>
              <w:marBottom w:val="0"/>
              <w:divBdr>
                <w:top w:val="none" w:sz="0" w:space="0" w:color="auto"/>
                <w:left w:val="none" w:sz="0" w:space="0" w:color="auto"/>
                <w:bottom w:val="none" w:sz="0" w:space="0" w:color="auto"/>
                <w:right w:val="none" w:sz="0" w:space="0" w:color="auto"/>
              </w:divBdr>
            </w:div>
          </w:divsChild>
        </w:div>
        <w:div w:id="55512448">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7631">
      <w:bodyDiv w:val="1"/>
      <w:marLeft w:val="0"/>
      <w:marRight w:val="0"/>
      <w:marTop w:val="0"/>
      <w:marBottom w:val="0"/>
      <w:divBdr>
        <w:top w:val="none" w:sz="0" w:space="0" w:color="auto"/>
        <w:left w:val="none" w:sz="0" w:space="0" w:color="auto"/>
        <w:bottom w:val="none" w:sz="0" w:space="0" w:color="auto"/>
        <w:right w:val="none" w:sz="0" w:space="0" w:color="auto"/>
      </w:divBdr>
      <w:divsChild>
        <w:div w:id="577515265">
          <w:marLeft w:val="0"/>
          <w:marRight w:val="0"/>
          <w:marTop w:val="0"/>
          <w:marBottom w:val="0"/>
          <w:divBdr>
            <w:top w:val="none" w:sz="0" w:space="0" w:color="auto"/>
            <w:left w:val="none" w:sz="0" w:space="0" w:color="auto"/>
            <w:bottom w:val="none" w:sz="0" w:space="0" w:color="auto"/>
            <w:right w:val="none" w:sz="0" w:space="0" w:color="auto"/>
          </w:divBdr>
          <w:divsChild>
            <w:div w:id="864632972">
              <w:marLeft w:val="0"/>
              <w:marRight w:val="0"/>
              <w:marTop w:val="0"/>
              <w:marBottom w:val="0"/>
              <w:divBdr>
                <w:top w:val="none" w:sz="0" w:space="0" w:color="auto"/>
                <w:left w:val="none" w:sz="0" w:space="0" w:color="auto"/>
                <w:bottom w:val="none" w:sz="0" w:space="0" w:color="auto"/>
                <w:right w:val="none" w:sz="0" w:space="0" w:color="auto"/>
              </w:divBdr>
              <w:divsChild>
                <w:div w:id="779883116">
                  <w:marLeft w:val="0"/>
                  <w:marRight w:val="0"/>
                  <w:marTop w:val="0"/>
                  <w:marBottom w:val="0"/>
                  <w:divBdr>
                    <w:top w:val="none" w:sz="0" w:space="0" w:color="auto"/>
                    <w:left w:val="none" w:sz="0" w:space="0" w:color="auto"/>
                    <w:bottom w:val="none" w:sz="0" w:space="0" w:color="auto"/>
                    <w:right w:val="none" w:sz="0" w:space="0" w:color="auto"/>
                  </w:divBdr>
                  <w:divsChild>
                    <w:div w:id="87238940">
                      <w:marLeft w:val="0"/>
                      <w:marRight w:val="0"/>
                      <w:marTop w:val="0"/>
                      <w:marBottom w:val="0"/>
                      <w:divBdr>
                        <w:top w:val="none" w:sz="0" w:space="0" w:color="auto"/>
                        <w:left w:val="none" w:sz="0" w:space="0" w:color="auto"/>
                        <w:bottom w:val="none" w:sz="0" w:space="0" w:color="auto"/>
                        <w:right w:val="none" w:sz="0" w:space="0" w:color="auto"/>
                      </w:divBdr>
                      <w:divsChild>
                        <w:div w:id="10806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90005">
              <w:marLeft w:val="0"/>
              <w:marRight w:val="0"/>
              <w:marTop w:val="0"/>
              <w:marBottom w:val="0"/>
              <w:divBdr>
                <w:top w:val="none" w:sz="0" w:space="0" w:color="auto"/>
                <w:left w:val="none" w:sz="0" w:space="0" w:color="auto"/>
                <w:bottom w:val="none" w:sz="0" w:space="0" w:color="auto"/>
                <w:right w:val="none" w:sz="0" w:space="0" w:color="auto"/>
              </w:divBdr>
              <w:divsChild>
                <w:div w:id="1831600801">
                  <w:marLeft w:val="0"/>
                  <w:marRight w:val="0"/>
                  <w:marTop w:val="0"/>
                  <w:marBottom w:val="0"/>
                  <w:divBdr>
                    <w:top w:val="none" w:sz="0" w:space="0" w:color="auto"/>
                    <w:left w:val="none" w:sz="0" w:space="0" w:color="auto"/>
                    <w:bottom w:val="none" w:sz="0" w:space="0" w:color="auto"/>
                    <w:right w:val="none" w:sz="0" w:space="0" w:color="auto"/>
                  </w:divBdr>
                  <w:divsChild>
                    <w:div w:id="13351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7680">
              <w:marLeft w:val="0"/>
              <w:marRight w:val="0"/>
              <w:marTop w:val="0"/>
              <w:marBottom w:val="0"/>
              <w:divBdr>
                <w:top w:val="none" w:sz="0" w:space="0" w:color="auto"/>
                <w:left w:val="none" w:sz="0" w:space="0" w:color="auto"/>
                <w:bottom w:val="none" w:sz="0" w:space="0" w:color="auto"/>
                <w:right w:val="none" w:sz="0" w:space="0" w:color="auto"/>
              </w:divBdr>
            </w:div>
          </w:divsChild>
        </w:div>
        <w:div w:id="1614751828">
          <w:marLeft w:val="0"/>
          <w:marRight w:val="0"/>
          <w:marTop w:val="0"/>
          <w:marBottom w:val="0"/>
          <w:divBdr>
            <w:top w:val="none" w:sz="0" w:space="0" w:color="auto"/>
            <w:left w:val="none" w:sz="0" w:space="0" w:color="auto"/>
            <w:bottom w:val="none" w:sz="0" w:space="0" w:color="auto"/>
            <w:right w:val="none" w:sz="0" w:space="0" w:color="auto"/>
          </w:divBdr>
        </w:div>
        <w:div w:id="712269086">
          <w:marLeft w:val="0"/>
          <w:marRight w:val="0"/>
          <w:marTop w:val="0"/>
          <w:marBottom w:val="0"/>
          <w:divBdr>
            <w:top w:val="none" w:sz="0" w:space="0" w:color="auto"/>
            <w:left w:val="none" w:sz="0" w:space="0" w:color="auto"/>
            <w:bottom w:val="none" w:sz="0" w:space="0" w:color="auto"/>
            <w:right w:val="none" w:sz="0" w:space="0" w:color="auto"/>
          </w:divBdr>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nicaltrials.gov/show/NCT04477655"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314380"/>
    <w:rsid w:val="003413FE"/>
    <w:rsid w:val="00396424"/>
    <w:rsid w:val="004019CA"/>
    <w:rsid w:val="004F76DA"/>
    <w:rsid w:val="00746C61"/>
    <w:rsid w:val="007876AF"/>
    <w:rsid w:val="008C54AC"/>
    <w:rsid w:val="00983991"/>
    <w:rsid w:val="009978BC"/>
    <w:rsid w:val="009C3B0E"/>
    <w:rsid w:val="009C4A6C"/>
    <w:rsid w:val="009D6E6D"/>
    <w:rsid w:val="00B0441B"/>
    <w:rsid w:val="00B70615"/>
    <w:rsid w:val="00B85487"/>
    <w:rsid w:val="00F63CD5"/>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A8923-02A0-4C26-9AFC-1126F41F7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2066</Words>
  <Characters>11367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2</cp:revision>
  <cp:lastPrinted>2021-12-03T15:30:00Z</cp:lastPrinted>
  <dcterms:created xsi:type="dcterms:W3CDTF">2022-06-30T20:28:00Z</dcterms:created>
  <dcterms:modified xsi:type="dcterms:W3CDTF">2022-06-30T20:28:00Z</dcterms:modified>
</cp:coreProperties>
</file>